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paliw i środków smarowych </w:t>
      </w:r>
    </w:p>
    <w:p>
      <w:pPr>
        <w:keepNext w:val="1"/>
        <w:spacing w:after="10"/>
      </w:pPr>
      <w:r>
        <w:rPr>
          <w:b/>
          <w:bCs/>
        </w:rPr>
        <w:t xml:space="preserve">Koordynator przedmiotu: </w:t>
      </w:r>
    </w:p>
    <w:p>
      <w:pPr>
        <w:spacing w:before="20" w:after="190"/>
      </w:pPr>
      <w:r>
        <w:rPr/>
        <w:t xml:space="preserve">mgr inż. / Maria Konopka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ZICS03/2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przygotowaniem i przetwórstwem ropy naftowej w kierunku otrzymywania paliw i środków smarowych. Celem nauczania przedmiotu jest przekazanie umiejętności rozdziału surowców naftowych poprzez destylację, ekstrakcję i krystalizację; opracowania założeń w zakresie chemizmu, termodynamiki i kinetyki procesów otrzymywania paliw i środków smarowych; doboru technologii otrzymywania paliw i środków smarowych o złożonych właściwościach fizykochemicznych; rozwiązywania problemów związanych z zagadnieniami gospodarki wodnej i ściekowej oraz ochrony środowiska w procesach otrzymywania paliw i środków smarowych. 
</w:t>
      </w:r>
    </w:p>
    <w:p>
      <w:pPr>
        <w:keepNext w:val="1"/>
        <w:spacing w:after="10"/>
      </w:pPr>
      <w:r>
        <w:rPr>
          <w:b/>
          <w:bCs/>
        </w:rPr>
        <w:t xml:space="preserve">Treści kształcenia: </w:t>
      </w:r>
    </w:p>
    <w:p>
      <w:pPr>
        <w:spacing w:before="20" w:after="190"/>
      </w:pPr>
      <w:r>
        <w:rPr/>
        <w:t xml:space="preserve">L - Destylacja atmosferyczna ropy naftowej. Destylacja próżniowa ropy naftowej. Określanie sprawności kolumny destylacyjnej. Otrzymywanie biokomponentu oleju napędowego.  Rafinacja olejów metodą rozpuszczalnikową. Odparafinowanie olejów smarowych metodą mocznikową. Otrzymywanie smarów plastycznych. Utylizacja ścieków pochodzenia rafineryjnego metodą mokrego utleniania (H2O2)
</w:t>
      </w:r>
    </w:p>
    <w:p>
      <w:pPr>
        <w:keepNext w:val="1"/>
        <w:spacing w:after="10"/>
      </w:pPr>
      <w:r>
        <w:rPr>
          <w:b/>
          <w:bCs/>
        </w:rPr>
        <w:t xml:space="preserve">Metody oceny: </w:t>
      </w:r>
    </w:p>
    <w:p>
      <w:pPr>
        <w:spacing w:before="20" w:after="190"/>
      </w:pPr>
      <w:r>
        <w:rPr/>
        <w:t xml:space="preserve">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laboratoryjne.Łącznie w ramach przedmiotu można uzyskać maksimum 40 pkt. Przeliczenie sumy uzyskanych punktów na ocenę końcową odbywa się w następujący sposób: &lt; 20 pkt - 2,0 (niedostateczny), 20 pkt - 24 pkt - 3,0 (dostateczny), 25 pkt - 29 pkt - 3,5 (dość dobry), 30 pkt - 34 pkt - 4,0 (dobry), 35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Surygala J., Vademecum rafineria: ropa naftowa: właściwości, przetwarzanie, produkty, Wydawnictwa Naukowo – Techniczne, Warszawa 2006.
2. Simanzhenkov V., Idem R., Crude Oil Chemistry, Marcel Dekker Inc., New York 2003.
3. Speight J. G., The Chemistry and Technology of Petroleum, Marcel Dekker Inc., New York 1999.
4. Meyers R. A., Handbook of Petroleum Refning Processes, McGraw-Hill Professional Publishing, New York 2004.
5. Jones D. S. J., Pujadó P. R., Handbook of Petroleum Processing, Springer, Dordrecht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2026-07-14T16:51:22+02:00</dcterms:created>
  <dcterms:modified xsi:type="dcterms:W3CDTF">2026-07-14T16:51:22+02:00</dcterms:modified>
</cp:coreProperties>
</file>

<file path=docProps/custom.xml><?xml version="1.0" encoding="utf-8"?>
<Properties xmlns="http://schemas.openxmlformats.org/officeDocument/2006/custom-properties" xmlns:vt="http://schemas.openxmlformats.org/officeDocument/2006/docPropsVTypes"/>
</file>