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60h
2. zapoznanie się ze wskazaną literaturą – 15h
3. przygotowanie się do sprawdzianów/kolokwium – 30h
4. przygotowanie się do wykonania części doświadczalnej – 20h
Razem nakład pracy studenta: 60h + 15h + 30h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60h,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zajęciach laboratoryjnych –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(wykład +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 oraz analitycznej,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wybrane techniki analizy klasycznej (alkacymetria, kompleksometria, redoksometria i analiza strąceniowa);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Podstawy chemii analitycznej: alkacymetria, kompleksometria i redoksometria (12h);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ChL_W2: </w:t>
      </w:r>
    </w:p>
    <w:p>
      <w:pPr/>
      <w:r>
        <w:rPr/>
        <w:t xml:space="preserve">Zna metody otrzymywania prostych związków nieorganicznych oraz ma podstawy klasycznej analizy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ChL_U2: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2026-08-22T20:56:49+02:00</dcterms:created>
  <dcterms:modified xsi:type="dcterms:W3CDTF">2026-08-22T20:56:49+02:00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