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- 60 godz. w tym:
obecność na wykładach - 30 godz.
obecność na ćwiczeniach projektowych - 30 godz.
Przygotowanie projektów i ich zaliczanie - 30 godz.
Przygotowanie do egzaminu i zdawanie - 30 godz.
Razem nakład pracy studenta - 120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Obecność na ćwiczeniach projektowych - 30 godz.
Razem  - 60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- 30 godz.
Przygotowanie do egzaminu  - 30 godz.
Razem  - 60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przedmiotu Procesy oczyszczania gazów (sem.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oczyszczania gazów z zanieczyszczeń gazowych.</w:t>
      </w:r>
    </w:p>
    <w:p>
      <w:pPr>
        <w:keepNext w:val="1"/>
        <w:spacing w:after="10"/>
      </w:pPr>
      <w:r>
        <w:rPr>
          <w:b/>
          <w:bCs/>
        </w:rPr>
        <w:t xml:space="preserve">Treści kształcenia: </w:t>
      </w:r>
    </w:p>
    <w:p>
      <w:pPr>
        <w:spacing w:before="20" w:after="190"/>
      </w:pPr>
      <w:r>
        <w:rPr/>
        <w:t xml:space="preserve">Wykład: podstawowe metody oczyszczania gazów z zanieczyszczeń gazowych tj. absorpcja, adsorpcja, spalanie, kondensacja, procesy oczyszczania biologicznego i metody niekonwencjonalne; praktyczne aspekty oczyszczania gazów w odniesieniu do odsiarczania gazów, usuwania tlenków azotu, halogenków, oparów rtęci, lotnych związków organicznych (LZO) oraz metod biologicznych; oczyszczanie powietrza w pomieszczeniach i na stanowiskach pracy, minimalizacja i zapobieganie zanieczyszczeniom; ekonomika procesów oczyszczania gazów. Projekt: wykonanie projektów wybranych, reprezentatywnych procesów i aparatów do oczyszczania gazów z zanieczyszczeń gazowych tj.: absorpcja, adsorpcja, spalanie.; projekty obejmują: obliczenia procesowe, obliczenia konstrukcyjne aparatów i 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 H. J. Rafson, Odor and VOC Control Handbook, McGraw-Hill,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U_02: </w:t>
      </w:r>
    </w:p>
    <w:p>
      <w:pPr/>
      <w:r>
        <w:rPr/>
        <w:t xml:space="preserve">Potrafi sformułować specyfikację procesów technologicznych i aparatury w odniesieniu do operacji oczyszczania gazów z zanieczyszczeń gazowych </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U_03: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2026-03-23T08:32:34+01:00</dcterms:created>
  <dcterms:modified xsi:type="dcterms:W3CDTF">2026-03-23T08:32:34+01:00</dcterms:modified>
</cp:coreProperties>
</file>

<file path=docProps/custom.xml><?xml version="1.0" encoding="utf-8"?>
<Properties xmlns="http://schemas.openxmlformats.org/officeDocument/2006/custom-properties" xmlns:vt="http://schemas.openxmlformats.org/officeDocument/2006/docPropsVTypes"/>
</file>