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W07: </w:t>
      </w:r>
    </w:p>
    <w:p>
      <w:pPr/>
      <w:r>
        <w:rPr/>
        <w:t xml:space="preserve">Opanowanie możliwości modelowania systemów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K-U09, K-U10, K-U11: </w:t>
      </w:r>
    </w:p>
    <w:p>
      <w:pPr/>
      <w:r>
        <w:rPr/>
        <w:t xml:space="preserve">Umiejętność analizy zachowań struktur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>Umiejętność komunikacji z przedstawicielami samorządów, społeczności lokalnej i przedstawicielami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2026-01-13T19:47:38+01:00</dcterms:created>
  <dcterms:modified xsi:type="dcterms:W3CDTF">2026-01-13T19:47:38+01:00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