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90, 35 godzin przygotowanie do egzaminu i udział w tym egzaminie, 15 godzin przygotowania literaturowego, 40 godzin przygotowania do ćwiczeń audytoryjnych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 30 godzin wykładu i 30 godzin ćwiczeń audytoryjnych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keepNext w:val="1"/>
        <w:spacing w:after="10"/>
      </w:pPr>
      <w:r>
        <w:rPr>
          <w:b/>
          <w:bCs/>
        </w:rPr>
        <w:t xml:space="preserve">Efekt W2: </w:t>
      </w:r>
    </w:p>
    <w:p>
      <w:pPr/>
      <w:r>
        <w:rPr/>
        <w:t xml:space="preserve">Ma uporządkowaną, podbudowaną teoretycznie wiedzę ogólną obejmującą kluczowe zagadnienia charakteryzujące studiowaną dyscyplinę inżynierską</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Zna i rozumie pozatechniczne aspekty działalności inżynierskiej w obszarze automatyki i robotyki; a w szczególności aspekt społeczny automatyzacji i robotyzacji oraz jej wpływ na rynek pracy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K2: </w:t>
      </w:r>
    </w:p>
    <w:p>
      <w:pPr/>
      <w:r>
        <w:rPr/>
        <w:t xml:space="preserve">Ma świadomość ważności i zrozumienie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2024-05-02T20:43:51+02:00</dcterms:created>
  <dcterms:modified xsi:type="dcterms:W3CDTF">2024-05-02T20:43:51+02:00</dcterms:modified>
</cp:coreProperties>
</file>

<file path=docProps/custom.xml><?xml version="1.0" encoding="utf-8"?>
<Properties xmlns="http://schemas.openxmlformats.org/officeDocument/2006/custom-properties" xmlns:vt="http://schemas.openxmlformats.org/officeDocument/2006/docPropsVTypes"/>
</file>