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Dranka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realizowany na semestrze I - wymagana znajomość chemii, fizyki i matematyki na poziomie szkoły średniej.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ze strukturą i przemianami materii na poziomie mikro- i makroskopowym ze szczególnym uwzględnieniem teorii wiązań chemicznych.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Budowa materii.
2. Układ okresowy pierwiastków.
3. Rodzaje wiązań i typy związków chemicznych.
4. Budowa układów makroskopowych.
5. Równowagi chemiczne i równowagi fazowe. 
6. Reakcje chemiczne.
7. Wodór i jego związki. 
8. Związki tlenowe.
9. Chemia węgla.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Bielański, Podstawy chemii nieorganicznej, PWN, Warszawa 1987,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PCH_W01: </w:t>
      </w:r>
    </w:p>
    <w:p>
      <w:pPr/>
      <w:r>
        <w:rPr/>
        <w:t xml:space="preserve">Ma podstawową wiedzę z 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PCH_U01: </w:t>
      </w:r>
    </w:p>
    <w:p>
      <w:pPr/>
      <w:r>
        <w:rPr/>
        <w:t xml:space="preserve">umie rozwiązać zadania z zakresu podstaw 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2026-09-12T13:26:45+02:00</dcterms:created>
  <dcterms:modified xsi:type="dcterms:W3CDTF">2026-09-12T13:26:45+02:00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