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Sterowanie procesów ciągłych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Wieńczysław Kościelny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22, ćwiczenia tablicowe 12, zapoznanie z literaturą 40, zadania domowe 40, przygotowanie do kolokwiów 20
RAZEM 134 godz. = 5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 22, ćwiczenia tablicowe 12
RAZEM 34 godz. = 1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Ćwiczenia tablicowe 12, zadania domowe 40
RAZEM 52 godz. = 2 ECTS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Matematyka, Podstawy Automatyki. 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Nabycie umiejętności rozpoznawania i oceny problemów automatyzacji procesów ciągłych, doboru metodyki sterowania i środków technicznych.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Identyfikacja obiektów regulacji. Algorytmy regulacji. Regulatory przemysłowe. Jakość regulacji, dobór algorytmu regulacji i nastaw regulatorów. Struktury układów regulacji. Układy regulacji dwu- i trójstawnej. Serwomechanizmy. Układy nieliniowe.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Na podstawie bieżącej oceny pracy studentów i kolokwiów.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- Holejko D., Kościelny W.: Automatyka procesów ciągłych. Oficyna Wyd. PW, Warszawa 2012;
- Brzóska J.: Regulatory i układy automatyki. Wydawnictwo MIKOM, 2004;
- Brzóska J.: Regulatory cyfrowe w automatyce. Wydawnictwo MIKOM, 2002;
- Findeisen W.: Technika regulacji automatycznej. PWN, Warszawa 1978;
- Holejko D., Kościelny W.J., Niewczas W.: Zbiór zadań z podstaw automatyki. WPW, wydanie VIII, 1985;
- Jędrzykiewicz Z.: Teoria sterowania układów  jednowymiarowych. Wydawnictwa AGH, Kraków 2004;
- Kaczorek T., Dzieliński A., Dąbrowski W., Łopatka R.: Podstawy teorii sterowania. WNT,  Warszawa 2005;
- Kaczorek T.: Teoria sterowania. PWN, Warszawa, tom I - 1977, tom II - 1981;
- Żelazny M.: Podstawy automatyki. PWN, Warszawa 1976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SPC_W01: </w:t>
      </w:r>
    </w:p>
    <w:p>
      <w:pPr/>
      <w:r>
        <w:rPr/>
        <w:t xml:space="preserve">Praktyczna wiedza dotycząca opracowania opisu właściwości obiektów regulacji, doboru struktury układu regulacji, doboru algorytmu regulacji i nastaw regulatorów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bieżącej oceny pracy studentów i kolokwiów.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praktyczny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SPC_U01: </w:t>
      </w:r>
    </w:p>
    <w:p>
      <w:pPr/>
      <w:r>
        <w:rPr/>
        <w:t xml:space="preserve">Umiejętność tworzenia matematycznego opisu właściwości obiektów regulacji, doboru struktury układu regulacji, doboru algorytmu regulacji i nastaw regulatorów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bieżącej oceny pracy studentów i kolokwiów.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4" w:name="_Toc4"/>
      <w:r>
        <w:t>Profil praktyczny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SPC_K01: </w:t>
      </w:r>
    </w:p>
    <w:p>
      <w:pPr/>
      <w:r>
        <w:rPr/>
        <w:t xml:space="preserve">Ma świadomość konieczności automatyzacji jako warunku rozwoju gospodarczego i cywilizacyjnego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bieżącej oceny pracy studentów i kolokwiów.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5" w:name="_Toc5"/>
      <w:r>
        <w:t>Profil ogólnoakademicki - wiedza</w:t>
      </w:r>
      <w:bookmarkEnd w:id="5"/>
    </w:p>
    <w:p>
      <w:pPr>
        <w:keepNext w:val="1"/>
        <w:spacing w:after="10"/>
      </w:pPr>
      <w:r>
        <w:rPr>
          <w:b/>
          <w:bCs/>
        </w:rPr>
        <w:t xml:space="preserve">Efekt SPC_W01: </w:t>
      </w:r>
    </w:p>
    <w:p>
      <w:pPr/>
      <w:r>
        <w:rPr/>
        <w:t xml:space="preserve">Identyfikacja obiektów regulacji. Algorytmy regulacji. Regulatory przemysłowe. Jakość regulacji, dobór algorytmu regulacji i nastaw regulatorów. Struktury układów regulacji. Układy regulacji dwu- i trójstawnej. Serwomechanizmy. Układy nieliniowe.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bieżącej oceny pracy studentów i kolokwiów.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</w:t>
      </w:r>
    </w:p>
    <w:p>
      <w:pPr>
        <w:pStyle w:val="Heading3"/>
      </w:pPr>
      <w:bookmarkStart w:id="6" w:name="_Toc6"/>
      <w:r>
        <w:t>Profil ogólnoakademicki - umiejętności</w:t>
      </w:r>
      <w:bookmarkEnd w:id="6"/>
    </w:p>
    <w:p>
      <w:pPr>
        <w:keepNext w:val="1"/>
        <w:spacing w:after="10"/>
      </w:pPr>
      <w:r>
        <w:rPr>
          <w:b/>
          <w:bCs/>
        </w:rPr>
        <w:t xml:space="preserve">Efekt SPC_U01: </w:t>
      </w:r>
    </w:p>
    <w:p>
      <w:pPr/>
      <w:r>
        <w:rPr/>
        <w:t xml:space="preserve">Umiejętność rozpoznawania i oceny problemów automatyzacji procesów ciągłych, doboru metodyki sterowania i środków technicznych.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bieżącej oceny pracy studentów i kolokwiów.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K_U03, K_U14, K_U15, K_U16, K_U17, K_U18, K_U19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T1A_U04, T1A_U08, T1A_U13, T1A_U13, T1A_U13, T1A_U14, T1A_U14, T1A_U16</w:t>
      </w:r>
    </w:p>
    <w:p>
      <w:pPr>
        <w:pStyle w:val="Heading3"/>
      </w:pPr>
      <w:bookmarkStart w:id="7" w:name="_Toc7"/>
      <w:r>
        <w:t>Profil ogólnoakademicki - kompetencje społeczne</w:t>
      </w:r>
      <w:bookmarkEnd w:id="7"/>
    </w:p>
    <w:p>
      <w:pPr>
        <w:keepNext w:val="1"/>
        <w:spacing w:after="10"/>
      </w:pPr>
      <w:r>
        <w:rPr>
          <w:b/>
          <w:bCs/>
        </w:rPr>
        <w:t xml:space="preserve">Efekt SPC_K01: </w:t>
      </w:r>
    </w:p>
    <w:p>
      <w:pPr/>
      <w:r>
        <w:rPr/>
        <w:t xml:space="preserve">Potrafi organizować pracę zespołową 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Na podstawie bieżącej oceny pracy studentów i kolokwiów.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K_K01, K_K02, 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T1A_K01, T1A_K02, T1A_K03, T1A_K04, T1A_K05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2026-09-12T12:05:51+02:00</dcterms:created>
  <dcterms:modified xsi:type="dcterms:W3CDTF">2026-09-12T12:05:51+02:00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