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Ma szczegółową wiedzę na temat wybranego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T1A_W04, T1A_W02, T1A_W05</w:t>
      </w:r>
    </w:p>
    <w:p>
      <w:pPr>
        <w:keepNext w:val="1"/>
        <w:spacing w:after="10"/>
      </w:pPr>
      <w:r>
        <w:rPr>
          <w:b/>
          <w:bCs/>
        </w:rPr>
        <w:t xml:space="preserve">Efekt PDI_W02: </w:t>
      </w:r>
    </w:p>
    <w:p>
      <w:pPr/>
      <w:r>
        <w:rPr/>
        <w:t xml:space="preserve">Wie, jak wykonać pracę zgodnie z zasadami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PDI_U01: </w:t>
      </w:r>
    </w:p>
    <w:p>
      <w:pPr/>
      <w:r>
        <w:rPr/>
        <w:t xml:space="preserve">Umie zrealizować zadanie inżynierskie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T1A_U09, T1A_U14, T1A_U10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p>
      <w:pPr>
        <w:keepNext w:val="1"/>
        <w:spacing w:after="10"/>
      </w:pPr>
      <w:r>
        <w:rPr>
          <w:b/>
          <w:bCs/>
        </w:rPr>
        <w:t xml:space="preserve">Efekt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2026-02-07T22:05:06+01:00</dcterms:created>
  <dcterms:modified xsi:type="dcterms:W3CDTF">2026-02-07T22:05:06+01:00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