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1125h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PP_W01: </w:t>
      </w:r>
    </w:p>
    <w:p>
      <w:pPr/>
      <w:r>
        <w:rPr/>
        <w:t xml:space="preserve">Ma pogłębioną wiedzę dotyczącą zagadnienia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PP_U01: </w:t>
      </w:r>
    </w:p>
    <w:p>
      <w:pPr/>
      <w:r>
        <w:rPr/>
        <w:t xml:space="preserve">Umie zrealizować obszerne zadanie badawcze lub projektowe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T2A_U10, T2A_U11,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PP_K01: </w:t>
      </w:r>
    </w:p>
    <w:p>
      <w:pPr/>
      <w:r>
        <w:rPr/>
        <w:t xml:space="preserve">potrafi uwzględnić aspekty pozatechniczne prowadzonej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PP_K02: </w:t>
      </w:r>
    </w:p>
    <w:p>
      <w:pPr/>
      <w:r>
        <w:rPr/>
        <w:t xml:space="preserve">Potrafi zaplanować harmonogram realizacji złożonego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raportu z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2026-04-18T16:38:51+02:00</dcterms:created>
  <dcterms:modified xsi:type="dcterms:W3CDTF">2026-04-18T16:38:51+02:00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