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1125h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PP_W01: </w:t>
      </w:r>
    </w:p>
    <w:p>
      <w:pPr/>
      <w:r>
        <w:rPr/>
        <w:t xml:space="preserve">Ma pogłębioną wiedzę dotyczącą zagadnienia szczegółowego z obszaru mechatroniki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PP_U01: </w:t>
      </w:r>
    </w:p>
    <w:p>
      <w:pPr/>
      <w:r>
        <w:rPr/>
        <w:t xml:space="preserve">Umie zrealizować obszerne zadanie badawcze lub projektowe z obszaru mechatroniki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T2A_U04, T2A_U10, T2A_U11, T2A_U15,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PP_K01: </w:t>
      </w:r>
    </w:p>
    <w:p>
      <w:pPr/>
      <w:r>
        <w:rPr/>
        <w:t xml:space="preserve">potrafi uwzględnić aspekty pozatechniczne prowadzonej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PP_K02: </w:t>
      </w:r>
    </w:p>
    <w:p>
      <w:pPr/>
      <w:r>
        <w:rPr/>
        <w:t xml:space="preserve">Potrafi zaplanować harmonogram realizacji złożonego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2026-09-12T09:11:31+02:00</dcterms:created>
  <dcterms:modified xsi:type="dcterms:W3CDTF">2026-09-12T09:11:31+02:00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