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i etyczne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Buczkowski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 38.3/2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30 h - wykład, 4h - konsultacje, 5 h - przygotowanie do kolokwium, 4 h -przygotowanie do zaliczenia, 4h - przygotowanie do zajęć w tym zapoznanie z literaturą,  3 h - inne.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 
0,28 ECTS -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nauczania przedmiotu jest zapoznanie studentów z aspektami prawnymi i etycznymi wykorzystania technologii teleinformatycznym w życiu gospodarczym – ujęcie teoretyczne, jak również przedstawienie wybranych studiów przypadków dotyczących naruszenia przywołanych regulacji.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Pojęcie prawa informacyjnego. Ogólne uregulowania prawne w zakresie ochrony zasobów i procesów informacyjnych (1). 
Źródła prawa w zakresie ochrony zasobów i procesów informacyjnych w przedsiębiorstwach i instytucjach (2)
Prawna ochrona własności intelektualnej, danych osobowych i oprogramowania (2) 
Zasady publikowania w Internecie, fora internetowe, grupy Usenet, treści zabronione i społecznie szkodliwe itp.(2)
Reguły, zasady poruszania się w sieci Internet – netykieta,  spam – niechciana poczta elektroniczna itp. (2)
Organizacja ochrony procesów i zasobów informacyjnych w przedsiębiorstwie i instytucji. Polityka 
i strategia ochrony procesów i zasobów informacyjnych oraz innych składników informatycznej infrastruktury zarządzania,(2) 
Ochrona danych osobowych w praktyce zarządzania (1)
Przestępczość komputerowa, Przykłady naruszeń bezpieczeństwa SI. Straty spowodowane naruszeniem bezpieczeństwa (2). 
Rynek produktów i usług w zakresie bezpieczeństwa systemów informacyjnych. Kierunki badań i rozwoju w dziedzinie bezpieczeństwa SI (1).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pozytywna ocena z dwóch pisemnych kolokwiów w formie testu (zawierającego pytania opisowe i wyboru prawidłowej odpowiedzi z zaproponowanych w dedykowanym arkuszu). Zasady oceniania Ocena testów na podstawie % poprawnych odpowiedzi - tabela z punktacją:
% zdobytych punktów ocena
95-100 % 5
85-94 % 4,5
75-84 % 4
65-74 % 3,5
50-64 % 3
w celu uzupełnienia braków studenci kontaktują się z prowadzącym zajęcia w następujący sposób:
- w trakcie trwania semestru, w którym prowadzący ma zajęcia na uczelni: w dniu zajęć, podczas konsultacji i poprzez wskazany adres poczty elektronicznej;
- w trakcie trwania semestru, w którym prowadzący nie ma zajęć na uczelni: poprzez sekretariat studiów i poprzez wskazany adres poczty elektronicznej;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W.J. Bober: Powinność w świecie cyfrowym. Etyka komputerowa w świetle współczesnej filozofii moralnej, Losgraf 2008, 
2. M. Zelek: Sprzedaż przez Internet. Aspekty prawne, Difin 2012, 3. R. Golat: Internet - aspekty prawne, Difin 2005, M. Mazur: Przydatność metod rachunkowości w ekonomice informacji. Zeszyty Teoretyczne Rady Naukowej Stowarzyszenia Księgowych w Polsce, Tom LVI, Warszawa 2000
4. M. Mazur: Metodologiczne podstawy gospodarowania zasobami informacyjnymi w przedsiębiorstwie. W: Informatyka w zarządzaniu. Studia Informatica – Zeszyty Naukowe Instytutu Informatyki w Zarządzaniu, Uniwersytet Szczeciński, Szczecin 1999
5. M. Mazur, Uregulowania prawne w zakresie informatycznym, w: Problemy rachunkowości zarządczej a polskie prawo bilansowe. US, Akademia Ekonomiczna w Szczecinie, Szczecin 1999.
6. Prawo własności intelektualnej. Zbiór przepisów. Wydawnictwo Prawnicze LEX, Gdańsk 2004 (www.lex.com.pl).
7. Ustawa o ochronie danych osobowych (Dziennik Ustaw z 2001 r. Nr 100 poz. 1087 z późn. zm.).
8. Ustawa o prawie autorskim i prawach pokrewnych (Dz. U. z 2006 r. Nr 90, poz. 631 z późn. zm.).
Literatura uzupełniająca: 1. J. Kisielnicki, Informatyczna infrastruktura zarządzania. PWN 2001,
2. M. Goliński, Poziom rozwoju infrastruktury informacyjnej społeczeństwa. Wyd. Akademicka Oficyna Wydawnicza PLJ (1997).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ochrony własności intelektualnej i danych osobowych.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W25: </w:t>
      </w:r>
    </w:p>
    <w:p>
      <w:pPr/>
      <w:r>
        <w:rPr/>
        <w:t xml:space="preserve">Ma wiedzę dotyczącą prawnych i etycznych aspektów wykorzystywania technologii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U37: </w:t>
      </w:r>
    </w:p>
    <w:p>
      <w:pPr/>
      <w:r>
        <w:rPr/>
        <w:t xml:space="preserve">Potrafi, przy rozwiązywaniu konkretnego problemu w praktyce gospodarczej, przestrzegać uregulowań  prawnych w zakresie ochrony  własności intelektualnej i danych osobowych.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K17: </w:t>
      </w:r>
    </w:p>
    <w:p>
      <w:pPr/>
      <w:r>
        <w:rPr/>
        <w:t xml:space="preserve">Ma świadomość ważności aspektów prawnych i etycznych związanych z wykorzystaniem technologii informatycznych w praktyce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2024-05-21T21:39:15+02:00</dcterms:created>
  <dcterms:modified xsi:type="dcterms:W3CDTF">2024-05-21T21:39:15+02:00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