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31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125 h, w tym: wykład  + ćwiczenia 24, przygotowanie do zajęć 19, przygotowanie do egzaminu 18, przygotowanie do kolokwium 22, przygotowanie analizy 20,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finansowej.
Celem nauczania przedmiotu jest przygotowanie studenta do samodzielnej oceny sytuacji ekonomiczno – finansowej podmiotów gospodarczych, organizacji, sekcji /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w:t>
      </w:r>
    </w:p>
    <w:p>
      <w:pPr>
        <w:keepNext w:val="1"/>
        <w:spacing w:after="10"/>
      </w:pPr>
      <w:r>
        <w:rPr>
          <w:b/>
          <w:bCs/>
        </w:rPr>
        <w:t xml:space="preserve">Treści kształcenia: </w:t>
      </w:r>
    </w:p>
    <w:p>
      <w:pPr>
        <w:spacing w:before="20" w:after="190"/>
      </w:pPr>
      <w:r>
        <w:rPr/>
        <w:t xml:space="preserve">Wykłady:
Wstępna analiza sprawozdań finansowych: bilansu, rachunku zysków i strat, informacji
dodatkowej, rachunku środków pieniężnych, zestawienia zmian w kapitale własnym. [2W ]
Ocena kondycji finansowej na podstawie analizy wskaźnikowej: wskaźniki płynności,
aktywności (rotacji), stopnia zadłużenia, możliwości obsługi długu i rentowności, dekompozycja wskaźników. [6W ]
Prog rentowności oraz analiza marginalna (dźwignia operacyjna, finansowa, połączona, mnożniki zysku) [2 W]                                                                                                                                                                                                              Wycena jednostki gospodarczej. [2W ]
Systemy i sposoby oceny pogarszającej się sytuacji finansowej jednostki gospodarczej: systemy wczesnego ostrzegania, analiza dyskryminacyjna. [2W]
Systemy rankingowe i ratingowe. [2W]
Ćwiczenia:
Wstępna analiza sprawozdań finansowych: bilansu, rachunku zysków i strat, informacji
dodatkowej, rachunku środków pieniężnych, zestawienia zmian w kapitale własnym. [ 2Ć]
Ocena kondycji finansowej na podstawie analizy wskaźnikowej: wskaźniki płynności,
aktywności (rotacji), stopnia zadłużenia, możliwości obsługi długu i rentowności, dekompozycja wskaźnikow [ 4Ć]
Próg rentowności, analiza marginalna [1 Ć]
Wycena jednostki gospodarczej. [1Ć]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-forma: pisemna, pytania  otwarte, zakres dopuszczalnych pomocy ustala prowadzący - np. kalkulator
- czas trwania 45 minut  - 90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2024-05-19T04:50:01+02:00</dcterms:created>
  <dcterms:modified xsi:type="dcterms:W3CDTF">2024-05-19T04:50:01+02:00</dcterms:modified>
</cp:coreProperties>
</file>

<file path=docProps/custom.xml><?xml version="1.0" encoding="utf-8"?>
<Properties xmlns="http://schemas.openxmlformats.org/officeDocument/2006/custom-properties" xmlns:vt="http://schemas.openxmlformats.org/officeDocument/2006/docPropsVTypes"/>
</file>