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wykłady, 6 h - konsultacje, 14 h - inne w tym: zaliczenia w dodatkowych terminach, wskazanie na szczegółową literaturę związaną z opracowaniem prezentacji ,sprawdzenie opracowań prezentacji przed ich wygłoszeniem i związane z tym dodatkowe konsultacje, 11 h - przygotowanie do zajęć, 20 h - przygotowanie do zaliczenia, 8 h - przygotowanie pracy.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wykłady,
0,8 ECTS w tym: konsultacje w związku z przygotowaniem do zaliczenia (0,24 ECTS), zaliczenia w dodatkowych terminach (0,16 ECTS), wskazanie na szczegółową literaturę związaną z opracowaniem prezentacji (0,12 ECTS), sprawdzenie opracowań prezentacji przed ich wygłoszeniem i związane z tym dodatkowe konsultacje (0,28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przedsiębiorstwie, Statystyka i badania rynku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funkcjonowania podmiotów gospodarczych oraz z możliwościami tworzenia i rozwoju przedsiębiorstw na terenie Unii Europejskiej.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W1. Teoria integracji ekonomicznej. Unia gospodarcza i walutowa. Swobody i ograniczenia dla przedsiębiorstw. W2. Przedsiębiorstwo w UE a wspólna polityka handlowa. W3. Przedsiębiorstwo w UE a polityka konkurencji i polityka ochrony konsumenta. W4. Integracja przedsiębiorstw UE. Strategie wejścia przedsiębiorstwa na rynki zagraniczne.  W5. Ogólne warunki zakładania i prowadzenia działalności gospodarczej. Zasady ubiegania się o dotacje unijne na rozwój przedsiębiorstw MŚP. W6. Euromarketing. Koszty społeczne prowadzenia działalności gospodarczej.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przygotowanie prezentacji oraz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Burnat-Mikosz M. 2005: Pomoc Unii Europejskiej dla przedsiębiorców. Wydawnictwo C.H. Beck
2. Cieślak R., Kordasiewicz J. 2005: Dotacje z Unii Europejskiej dla firm. Praktyczny przewodnik. Wydawnictwo Biblioteczka Pracownicza
3. Wach K. 2005: Jak założyć firmę w Unii Europejskiej. Wyd. Oficyna Ekonomiczna 4. Dane ze stron internetowych Komisji Europejskiej Twoja Europa. 5. Publikacje na stronach internetowych Polskiej Agencji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prawidłowości i uwarunkowania fukcjonowania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zaliczenia opisowe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mechanizmy finansowania różnych sfer działalności podmiotów gospodarczych funkcjonujących na rynku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Potrafi, w przypadku prowadzenia działalności na własny rachunek, skorzystać z pomocy instytucji otoczenia biznesu funkcjonujących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(W2-W3,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Posiadając wiedzę o działalności przedsiebiorstw na rynku UE, przy znajomości instrumentów finansowania publicznego potrafi kształtować relacje z bankiem. Potrafi wykorzystać wiedzę o preferowanym przez banki profilu kredytobiorcy.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(W2-W5)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K11: </w:t>
      </w:r>
    </w:p>
    <w:p>
      <w:pPr/>
      <w:r>
        <w:rPr/>
        <w:t xml:space="preserve">Potrafi samodzielnie analizować trendy dotyczące działalności przedsiębiorstw w Unii Europejskiej na podstawie statystyk polskich i międzynarodowych. Jest rzetelny w prowadzeniu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multimedialnej (W2-W6)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2024-05-19T02:08:39+02:00</dcterms:created>
  <dcterms:modified xsi:type="dcterms:W3CDTF">2024-05-19T02:08:39+02:00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