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obieralny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Zależnie od wybranego przedmiotu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TR.NIPOB1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Około 75 godzin, w tym: praca na zajęciach: 18 godz., studiowanie literatury przedmiotu: około 37 godz., konsultacje: 3 godz., udział w egzaminach: 2 godz., przygotowanie do egzaminu: około 15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1,0 pkt. ECTS (około 23 godziny, w tym: praca na zajęciach: 18 godz., konsultacje: 3 godz., udział w egzaminach: 2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Zależnie od wybranego przedmiotu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Rozszerzenie wiedzy i umiejętności zgodnie z własnymi potrzebami studenta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Według programu wybranego przedmiotu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Egzamin, zasady zależne od wybranego przedmiotu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Zależnie od wybranego przedmiotu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Przedmiot wybierany z zestawu dodatkowych przedmiotów obieralnych zaakceptowanego przez Radę Wydziału na dany rok akademicki (grupa przedmiotów "Obieralne I, II, III"), lub spośród przedmiotów innych specjalności realizowanych na Wydziale.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Zgodnie z opisem wybranego przedmiotu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Zgodnie z programem wybranego przedmiotu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Zgodnie z opisem wybranego przedmiotu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Zgodnie z programem wybranego przedmiotu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K_01: </w:t>
      </w:r>
    </w:p>
    <w:p>
      <w:pPr/>
      <w:r>
        <w:rPr/>
        <w:t xml:space="preserve">Zgodnie z opisem wybranego przedmiotu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Zgodnie z programem wybranego przedmiotu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2026-09-11T18:45:33+02:00</dcterms:created>
  <dcterms:modified xsi:type="dcterms:W3CDTF">2026-09-11T18:45:33+02:00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