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42 godziny, udział w konsultacjach 18 godzin,  20 godzin na pracę w domu przygotowanie się do wykładów (studia literaturowe), 20 godzin przygotowań do zaliczenia. Razem 100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(wykłady i kolokwia - 42 godz, konsultacje - 18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właściwości obrabianych materiałów i właściwości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Przegląd współczesnych technik wytwarzania 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skrawaniem. Właściwości przedmiotów po obróbce plastycznej na zimno, ciepło i gorąco. 
Podstawy fizyczne procesów spawania. Spawanie łukowe, TIG, MIG, plazmowe, wiązką elektronów, laserowe. Zgrzewanie oporowe,lutowanie. Tworzywa odlewnicze. Metody wykonywania form. Odlewanie pod ciśnieniem. Krzepnięcie i skurcz odlewu, obróbka skrawaniem i technologie obróbki ubytkowej.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TW6_W03: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TW6_W01: </w:t>
      </w:r>
    </w:p>
    <w:p>
      <w:pPr/>
      <w:r>
        <w:rPr/>
        <w:t xml:space="preserve">posiada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TW6_W04: </w:t>
      </w:r>
    </w:p>
    <w:p>
      <w:pPr/>
      <w:r>
        <w:rPr/>
        <w:t xml:space="preserve">zna metody przeróbki plastycznej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TW6_U01: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2026-08-02T04:49:55+02:00</dcterms:created>
  <dcterms:modified xsi:type="dcterms:W3CDTF">2026-08-02T04:49:55+02:00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