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TR.SMS107</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ćwiczenia laboratoryjnych 15, zapoznanie się ze wskazana literaturą 16, konsultacje 3 (w tym 2 w zakresie zajęć laboratoryjnych), przygotowanie do egzaminu 12, przygotowanie do zajęć laboratoryjnych 12, udział w egzaminie 2</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(50 godzin, w tym: uczestnictwo w wykładzie 30 godz., praca na laboratoriach: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15 godz., przygotowanie się do zajęć laboratoryjnych: 12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w:t>
      </w:r>
    </w:p>
    <w:p>
      <w:pPr>
        <w:keepNext w:val="1"/>
        <w:spacing w:after="10"/>
      </w:pPr>
      <w:r>
        <w:rPr>
          <w:b/>
          <w:bCs/>
        </w:rPr>
        <w:t xml:space="preserve">Limit liczby studentów: </w:t>
      </w:r>
    </w:p>
    <w:p>
      <w:pPr>
        <w:spacing w:before="20" w:after="190"/>
      </w:pPr>
      <w:r>
        <w:rPr/>
        <w:t xml:space="preserve">wykład - bez ograniczeń, ćwiczenia lab. w symulatorze autoPW - maksimum 8 osob, ćwicz. lab. w laboratorium ZEiUP - maksimu 10 osob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Prezentacja konstrukcji wybranych zespołów nowoczesnego samochodu; ocena toksyczności spalin silników spalinowych, eksperymentalne wyznaczanie położenia środka masy samochodu; – ćwiczenia w laboratorium Zakładu EiUP.
Badania kierowalności i stateczności samochodu na podstawie testów ISO – testy zamknięte (według norm ISO 4138, ISO 3888), testy otwarte (według normy ISO 7401) – ćwiczenia z wykorzystaniem symulatora jazdy samochodem (autoPW).
</w:t>
      </w:r>
    </w:p>
    <w:p>
      <w:pPr>
        <w:keepNext w:val="1"/>
        <w:spacing w:after="10"/>
      </w:pPr>
      <w:r>
        <w:rPr>
          <w:b/>
          <w:bCs/>
        </w:rPr>
        <w:t xml:space="preserve">Metody oceny: </w:t>
      </w:r>
    </w:p>
    <w:p>
      <w:pPr>
        <w:spacing w:before="20" w:after="190"/>
      </w:pPr>
      <w:r>
        <w:rPr/>
        <w:t xml:space="preserve">Egzamin w formie pisemnej i (uzupełniająco) ustnej. Ćwiczenia laboratoryjne - kolokwia, ocena sprawozdań i ocena pracy w trakcie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Reimpell J., Betzler J. Podwozia samochodów. Podstawy konstrukcji. WKŁ, Warszawa 2001r. (lub Reimpell J. Podwozia samochodów. Podstawy konstrukcji. WKŁ, Warszawa 1997r.)
2) Reński A. Budowa samochodów. Układy hamulcowe i kierownicze oraz zawieszenia. OWPW, Warszawa, 1997r.
3) BOSCH, Informator techniczny „Układy bezpieczeństwa i komfortu jazdy”, WKŁ, W-wa 2000r.
4) Merkisz J. Ekologiczne problemy silników spalinowych,tom I. Wydawnictwo Politechniki Poznańskiej, Poznań 1998
5) Merkisz J. Ekologiczne problemy silników spalinowych, tom II. Wydawnictwo Politechniki Poznańskiej, Poznań 1999
6)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Tr2A_U07, Tr2A_U01</w:t>
      </w:r>
    </w:p>
    <w:p>
      <w:pPr>
        <w:spacing w:before="20" w:after="190"/>
      </w:pPr>
      <w:r>
        <w:rPr>
          <w:b/>
          <w:bCs/>
        </w:rPr>
        <w:t xml:space="preserve">Powiązane efekty obszarowe: </w:t>
      </w:r>
      <w:r>
        <w:rPr/>
        <w:t xml:space="preserve">T2A_U09, InzA_U02,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2024-05-17T09:59:42+02:00</dcterms:created>
  <dcterms:modified xsi:type="dcterms:W3CDTF">2024-05-17T09:59:42+02:00</dcterms:modified>
</cp:coreProperties>
</file>

<file path=docProps/custom.xml><?xml version="1.0" encoding="utf-8"?>
<Properties xmlns="http://schemas.openxmlformats.org/officeDocument/2006/custom-properties" xmlns:vt="http://schemas.openxmlformats.org/officeDocument/2006/docPropsVTypes"/>
</file>