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29 godzin - praca na wykładach, 3 godziny - konsultacje, 1 godzina - udział w sprawdzianie zaliczeniowym (w trakcie trwania wykładu), 15 godzin - studiowanie literatury przedmiotu, 6 godzin - przygotowanie do sprawdzianu zaliczeniowego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30 godzin - praca na wykładach i udział w zaliczeniu, 3 godziny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 możliwe zaliczenie przedmiotu poprzez przygotowanie i wygłoszenie prezentacji w trakcie wykładu, uprzednio ustalonej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InzA_W03,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Tr1A_K01, Tr1A_K05</w:t>
      </w:r>
    </w:p>
    <w:p>
      <w:pPr>
        <w:spacing w:before="20" w:after="190"/>
      </w:pPr>
      <w:r>
        <w:rPr>
          <w:b/>
          <w:bCs/>
        </w:rPr>
        <w:t xml:space="preserve">Powiązane efekty obszarowe: </w:t>
      </w:r>
      <w:r>
        <w:rPr/>
        <w:t xml:space="preserve">T1A_K01,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2026-02-09T05:40:42+01:00</dcterms:created>
  <dcterms:modified xsi:type="dcterms:W3CDTF">2026-02-09T05:40:42+01:00</dcterms:modified>
</cp:coreProperties>
</file>

<file path=docProps/custom.xml><?xml version="1.0" encoding="utf-8"?>
<Properties xmlns="http://schemas.openxmlformats.org/officeDocument/2006/custom-properties" xmlns:vt="http://schemas.openxmlformats.org/officeDocument/2006/docPropsVTypes"/>
</file>