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godz,
c)	konsultacje – 5 godz.
2.	Praca własna studenta – 25 godzin, w tym:
a)	 12 godz. - przygotowywanie się studenta do ćwiczeń laboratoryjnych,
b)	8 godz – przygotowanie się studenta do kolokwiów ,
c)	5 godz. –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laboratoryjne 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godzin;
b) przygotowywanie się studenta do laboratorium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egzamin.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NK311_W3: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NK311_U1: </w:t>
      </w:r>
    </w:p>
    <w:p>
      <w:pPr/>
      <w:r>
        <w:rPr/>
        <w:t xml:space="preserve">Student posiada umiejętości w zakresie modelowania prostych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NK311_U3: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NK311_K1: </w:t>
      </w:r>
    </w:p>
    <w:p>
      <w:pPr/>
      <w:r>
        <w:rPr/>
        <w:t xml:space="preserve">Umie pracować w zespole wykonującym ćwiczenia laboratoryjne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2026-01-11T05:38:11+01:00</dcterms:created>
  <dcterms:modified xsi:type="dcterms:W3CDTF">2026-01-11T05:38:11+01:00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