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65, w tym:
a) 60 godz. - projekty
b) 5 godz. - konsultacje
2. Praca własna studenta – 60 godzin, w tym:
a) 60 godz. – praca nad przygotowaniem dwóch projektów podzespołów robota. 
Razem -  125 godz. =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: 65, w tym:
a) 60 godz. - projekty
b) 5 godz.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4,8 punktu ECTS -115 godz. , w tym:  
1)  60 godz. - uczestnictwo w zajęciach projektowych
2)  60 godz. – praca nad przygotowaniem dwóch projektów podzespołów robota.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II, Materiały I, Techniki Wytwarzania I, Podstawy Konstrukcji Maszyn II, Zapis Konstrukcji CAD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studenta zasad wykonywania projektów konstrukcyjno-obliczeniowych podzespołów robotów. Student nabywa umiejętności samodzielnego przeprowadzenia procesu konstruowania zakończonego wykonaniem dokumentacji rysunkowej urządzenia oraz obliczeń w zakresie mechaniki i wytrzymałości materiałów.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I: Projekt konstrukcyjny chwytaka robota. Napęd przekładnią śrubową lub siłownikiem hydraulicznym. Wykonanie schematu kinematycznego. Dobór materiałów konstrukcyjnych. Kształtowanie elementów kiści i ich połączeń – wybór techniki wytwarzania. Dobór łożysk, zabezpieczeń, elementów napędu. Obliczenia statyki i wytrzymałości elementów. Wykonanie rysunku złożeniowego i rysunków warsztatowych wybranych elementów.
Projekt II: Projekt konstrukcyjny elementów manipulatora. Układ napędzany przekładnią śrubową, przekładnią pasową zębatą lub siłownikiem hydraulicznym, zawierający sprzęgło sztywne, podatne skrętnie lub przegubowe. Wykonanie schematu kinematycznego. Dobór materiałów konstrukcyjnych. Kształtowanie elementów manipulatora i ich połączeń – wybór techniki wytwarzania. Dobór łożysk, zabezpieczeń, elementów napędu. Obliczenia statyki, dynamiki i wytrzymałości elementów. Wykonanie rysunku złożeniowego i rysunków warsztatowych wybranych elementów.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
2. Sprawdzenie i ocena oddanej w ściśle określonym terminie dokumentacji rysunkowej i obliczeniowej
3. Omówienie z prowadzącym sprawdzonego projektu – analiza błędów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Podstawy konstrukcji maszyn, praca zbiorowa pod redakcją M.Dietricha, WNT; 2. L.W Kurmaz, Projektowanie węzłów i części maszyn, Wydawnictwo Politechniki Świętokrzyskiej; 3. Poradnik Mechanika; 4. J.Honczarenko, Roboty przemysłowe, WNT; 5. 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NK369_W1: </w:t>
      </w:r>
    </w:p>
    <w:p>
      <w:pPr/>
      <w:r>
        <w:rPr/>
        <w:t xml:space="preserve">Zna zasady doboru materiałów konstrukcyjnych w procesie projektowania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NK369_W2: </w:t>
      </w:r>
    </w:p>
    <w:p>
      <w:pPr/>
      <w:r>
        <w:rPr/>
        <w:t xml:space="preserve">Ma wiedzę w zakresie doboru pasowań i tolerowania wymiarów jako czynników wpływających na zdolność maszyny do wypełniania określonych funkcji oraz decydujących o trwałości, niezawodności, łatwości montażu i napraw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NK369_W3: </w:t>
      </w:r>
    </w:p>
    <w:p>
      <w:pPr/>
      <w:r>
        <w:rPr/>
        <w:t xml:space="preserve">Ma podstawową wiedzę na temat cyklu życia mechanizmów i podzespołów robotów oraz urządzeń automatycznych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NK369_U1: </w:t>
      </w:r>
    </w:p>
    <w:p>
      <w:pPr/>
      <w:r>
        <w:rPr/>
        <w:t xml:space="preserve">Potrafi zaprojektować podzespoły robota realizujące ściśle określoną funkcję i spełniające narzucone z góry założenia konstrukcyjne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AiR1_U07, AiR1_U11, AiR1_U15, AiR1_U17, AiR1_U18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T1A_U16, T1A_U14, T1A_U15, T1A_U16, T1A_U12, T1A_U16, T1A_U10</w:t>
      </w:r>
    </w:p>
    <w:p>
      <w:pPr>
        <w:keepNext w:val="1"/>
        <w:spacing w:after="10"/>
      </w:pPr>
      <w:r>
        <w:rPr>
          <w:b/>
          <w:bCs/>
        </w:rPr>
        <w:t xml:space="preserve">Efekt NK369_U2: </w:t>
      </w:r>
    </w:p>
    <w:p>
      <w:pPr/>
      <w:r>
        <w:rPr/>
        <w:t xml:space="preserve">Potrafi sporządzić model uproszczony urządzenia pozwalający na przeprowadzenie poprawnej analizy w zakresie kinematyki i statyki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NK369_U3: </w:t>
      </w:r>
    </w:p>
    <w:p>
      <w:pPr/>
      <w:r>
        <w:rPr/>
        <w:t xml:space="preserve">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T1A_U14, T1A_U15</w:t>
      </w:r>
    </w:p>
    <w:p>
      <w:pPr>
        <w:keepNext w:val="1"/>
        <w:spacing w:after="10"/>
      </w:pPr>
      <w:r>
        <w:rPr>
          <w:b/>
          <w:bCs/>
        </w:rPr>
        <w:t xml:space="preserve">Efekt NK369_U4: </w:t>
      </w:r>
    </w:p>
    <w:p>
      <w:pPr/>
      <w:r>
        <w:rPr/>
        <w:t xml:space="preserve">Potrafi wykorzystywać systemy wspomagania projektowania typu CAD/CAE na wszystkich etapach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NK369_U5: </w:t>
      </w:r>
    </w:p>
    <w:p>
      <w:pPr/>
      <w:r>
        <w:rPr/>
        <w:t xml:space="preserve">Potrafi zaproponować i zastosować dla członów pary kinematycznej łatwe w montażu i demontażu połączenia obrotowe i postępowe oraz jest w stanie zaproponować podparcie na łożyskach różnego typu o odpowiedniej trwałości i sprawności, właściwie osadzonych, smarowanych i zabezpieczonych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T1A_U16</w:t>
      </w:r>
    </w:p>
    <w:p>
      <w:pPr>
        <w:keepNext w:val="1"/>
        <w:spacing w:after="10"/>
      </w:pPr>
      <w:r>
        <w:rPr>
          <w:b/>
          <w:bCs/>
        </w:rPr>
        <w:t xml:space="preserve">Efekt NK369_U6: </w:t>
      </w:r>
    </w:p>
    <w:p>
      <w:pPr/>
      <w:r>
        <w:rPr/>
        <w:t xml:space="preserve">Umie decydować o dokładności elementów maszyn poprzez wykorzystanie analizy tolerancji, stosowanie określonych pasowań i wybór odpowiedniej chropowatości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T1A_U14, T1A_U15</w:t>
      </w:r>
    </w:p>
    <w:p>
      <w:pPr>
        <w:keepNext w:val="1"/>
        <w:spacing w:after="10"/>
      </w:pPr>
      <w:r>
        <w:rPr>
          <w:b/>
          <w:bCs/>
        </w:rPr>
        <w:t xml:space="preserve">Efekt NK369_U7: </w:t>
      </w:r>
    </w:p>
    <w:p>
      <w:pPr/>
      <w:r>
        <w:rPr/>
        <w:t xml:space="preserve">Potrafi zaprojektować urządzenie w którym przewidziano odpowiednie dostępy montażowe i obsługowe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T1A_U12, T1A_U16</w:t>
      </w:r>
    </w:p>
    <w:p>
      <w:pPr>
        <w:keepNext w:val="1"/>
        <w:spacing w:after="10"/>
      </w:pPr>
      <w:r>
        <w:rPr>
          <w:b/>
          <w:bCs/>
        </w:rPr>
        <w:t xml:space="preserve">Efekt NK369_U8: </w:t>
      </w:r>
    </w:p>
    <w:p>
      <w:pPr/>
      <w:r>
        <w:rPr/>
        <w:t xml:space="preserve">Potrafi odszukać i stosować gotowe urządzenia wykonawcze dostępne na rynku – siłowniki i silniki elektryczne. Umie korzystać z odpowiednich norm, specyfikacji materiałów konstrukcyjnych i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AiR1_U17,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T1A_U16,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2026-01-15T16:50:57+01:00</dcterms:created>
  <dcterms:modified xsi:type="dcterms:W3CDTF">2026-01-15T16:50:57+01:00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