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wykłady  - 30 godz.
b)	laboratoria – 15 godz.
c)	konsultacje – 5 godz.
2.	Praca własna studenta – 50 godzin, w tym:
a)	25 godz. – przygotowywanie się do kolokwiów przeprowadzanych na wykładzie i ćwiczeniach,
b)	25 godz. – sporządzanie raportów z przeprowadzonych ćwiczeń laboratoryjnych.
Razem -  100 godz. = 4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wykłady  - 30 godz.
b)	laboratoria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1)udział w  laboratoriach – 15 godz;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MES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Modelowanie warunków kontaktu na powierzchni implant-tkanka kostna. Nieliniowe modele implantów, protez i stabilizatorów. Utrata stateczności konstrukcji odkształcalnej. Modelowanie parametryczne i optymalne projektowanie w inżynierii ortopedycznej.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inzynieria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
3. Fung. Y.C. , Biomechanics. Motion, Flow, Stress and Growth, Springer-Verlag 1998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NS737_W1: </w:t>
      </w:r>
    </w:p>
    <w:p>
      <w:pPr/>
      <w:r>
        <w:rPr/>
        <w:t xml:space="preserve">							Znajomość podstawowych modeli opisu tkanek żywych i  odpowiednich metod analizy MES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ćwiczenia w modelowaniu (laboratorium komputerowe)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NS737_W2: </w:t>
      </w:r>
    </w:p>
    <w:p>
      <w:pPr/>
      <w:r>
        <w:rPr/>
        <w:t xml:space="preserve">							Znajomość zasad budowy modeli obliczeniowych typowych układów implant-kość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praca nad modelami (laboratorium), raporty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NS737_W3: </w:t>
      </w:r>
    </w:p>
    <w:p>
      <w:pPr/>
      <w:r>
        <w:rPr/>
        <w:t xml:space="preserve">							Znajomość zjawisk zachodzacych w kontakcie implant-kośc i zasad ich modelowania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ćwiczenia z modelowania MES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NS737_U1: </w:t>
      </w:r>
    </w:p>
    <w:p>
      <w:pPr/>
      <w:r>
        <w:rPr/>
        <w:t xml:space="preserve">							Umiejętność wykorzystywania MES i programu ANSYS do budowy zaawansowanych modeli obliczeniowych w inzynierii ortopedycznej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NS737_U2: </w:t>
      </w:r>
    </w:p>
    <w:p>
      <w:pPr/>
      <w:r>
        <w:rPr/>
        <w:t xml:space="preserve">							Umiejetność interpretacji wyników MES  i oceny mozliwości metody w biomechanice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Realizowana w trakcie laboratorium i przy ocenie raportów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NS737_U3: </w:t>
      </w:r>
    </w:p>
    <w:p>
      <w:pPr/>
      <w:r>
        <w:rPr/>
        <w:t xml:space="preserve">							Umiejetność przygotowywania raportów z analiz obliczeniowych MES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2026-04-21T03:05:43+02:00</dcterms:created>
  <dcterms:modified xsi:type="dcterms:W3CDTF">2026-04-21T03:05:43+02:00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