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Wojciech Święszkowski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MB</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Zaprezentowane zostaną podstawy biomechaniki układu szkieletowo-mięśniowego człowieka. Omawiane będą stosowane równania  konstytutywne dla izotropowych, ortotropowych i anizotropowych biomateriałów. W szczególności omawiane będą zagadnienia związane z mechanicznymi właściwościami biomateriałów obejmujące właściwości sprężyste, plastyczne, lepkosprężyste, zniszczenie i zużycie. Omawiane będą również aspekty biozgodności oraz założenia i wymagania stawiane materiałów na implanty.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Y.C. Fung, Biomechanics: Mechanical Properties of Living Tissues, 2nd edition, Springer, 1993. Biocybernetyka i inżynieria biomedyczna 2000, pod redakcją M. Nałęcza, Akademicka Oficyny Wydawnicza, EXIT, 2003; J. Marciniak, Biomateriały, Wyd. Politechniki Śląskiej, Gliwice 2002; M. Gierzyńska-Dolna, Biotribologia, Wyd. Politechniki Częstochowskiej,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MBIO_W1: </w:t>
      </w:r>
    </w:p>
    <w:p>
      <w:pPr/>
      <w:r>
        <w:rPr/>
        <w:t xml:space="preserve">	Ma wiedzę na temat struktury i właściwości biomateriałów naturalnych i sztucznych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Kolokwium: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MBIO_W2</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MBIO_W4: </w:t>
      </w:r>
    </w:p>
    <w:p>
      <w:pPr/>
      <w:r>
        <w:rPr/>
        <w:t xml:space="preserve">ma wiedzę na temat doboru biomateriałów na wybrane „części zamienne” człowieka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MBIO_U1: </w:t>
      </w:r>
    </w:p>
    <w:p>
      <w:pPr/>
      <w:r>
        <w:rPr/>
        <w:t xml:space="preserve">Potrafi dobierać wstępnie biomateriały na wybrane implanty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MBIO_U2: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MBIO_K1: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2026-08-22T03:00:15+02:00</dcterms:created>
  <dcterms:modified xsi:type="dcterms:W3CDTF">2026-08-22T03:00:15+02:00</dcterms:modified>
</cp:coreProperties>
</file>

<file path=docProps/custom.xml><?xml version="1.0" encoding="utf-8"?>
<Properties xmlns="http://schemas.openxmlformats.org/officeDocument/2006/custom-properties" xmlns:vt="http://schemas.openxmlformats.org/officeDocument/2006/docPropsVTypes"/>
</file>