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Pomiary w ruchu drogowym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Józef Suda, ad., Wydział Transportu Politechniki Warszawskiej Zakład Sterowania Ruchem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TR.SIP525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wykładu 30
Zapoznanie się ze wskazana literaturą 10
Przygotowanie do egzaminu 7
Egzamin i konsultacje z wykładowcą 3
Razem 50 godz.  ↔  2 pkt.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Godziny wykładu 30
Konsultacje z wykładowcą i egzamin	 3
Razem 33 ↔ 1,5 pkt. ECTS 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Probabilistyka, Badania operacyjne, Podstawy inżynierii ruchu, Metrologia 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Uzyskanie wiedzy z zakresu badań i analiz ruchu drogowego. Określenie celów analiz, przeznaczenia
wyników i zakresów badań. Uzyskanie wiedzy o narzędziach i przyrządach pomiarowych, lokalizacji
punktów pomiarowych i technologii wykonywania pomiarów.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Wprowadzenie: cele badań ruchu, klasyfikacja rodzajów badań i metod pomiarowych, zakres badań ruch. Narzędzia pomiarowe: cechy funkcjonalne, cechy użytkowe, podział na grupy funkcjonalne. Urządzenia pomiarowe: czujniki pojazdów, mierniki prędkości, rejestratory, urządzenia wideo detekcji, pojazdy testowe, ruchome laboratoria. Pomiary charakterystyk strumienia: w obserwacjach lokalnych i chwilowych: natężenie, gęstość, długości kolejek, straty czasu, itp. Algorytmy predykcji charakterystyk strumienia. Automatyzacja procesu pomiarowego: systemy i programy pomiarów ciągłych w miastach i na drogach zamiejskich, lokalizacja punktów pomiarowych, pomiary kordonowe i w przekrojach sieci. Pomiary metodą ruchomego obserwatora, wyznaczanie profilu i przebiegu prędkości, szumu przyśpieszeń. Techniki wideo detekcji ruvhu. Badania ruchu pieszych. Badania jakości ruchu. Badania oddziaływania ruchu na otoczenie: pomiary hałasu i zanieczyszczenia powietrza. Badania specjalne: transport publiczny, ruch pieszy, parkowanie. Kompleksowe badania ruchu. Dobór próby reprezentacyjnej, tworzenie ankiet, wykonywania wywiadów, badania kontrolne. Banki informacji, organizacja i dostępność informacji.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Gaca S., Suchorzewski W., Tracz M.: "Inżynieria ruchu drogowego. Teoria i praktyka", WKiŁ 2008. Tracz M. i inni: „
2.	„Pomiary i badania ruchu drogowego” Praca zbiorowa pod redakcją M. Tracza , WKił 1984 r.
3.	„Traffic Detector Handbook” Federal Highway Administration, Washington DC 2006 r.
4.	Kucharski r. J.: „Metody prognozowania hałasu komunikacyjnego (drogowego i ulicznego)”’ Biblioteka Monitoringu Środowiska. Warszawa 1996.
5.	Leutzbach W.: „Introduction to the theory of traffic flow”, Springer Verlag Berlin 1998 r.
6.	Leśko M., Guzik J.: „Sterowanie ruchem drogowym” cz. I – sza, „Sygnalizacja i detektory ruchu pojazdów”, Wyd. Politechniki Gliwickiej 2000 r.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ma wiedzę teoretyczną w zakresie metrologii przydatną do identyfikacji procesów ruchu drogowego jako zjawisk stochastycznych.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część pisemna,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Tr1A_W08, Tr1A_W09, Tr1A_W10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T1A_W04, T1A_W05, T1A_W08, T1A_W04, T1A_W07, T1A_W08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ma szczegółową wiedzę w zakresie technologii wykonywania pomiarów wielkości i jakości ruchu drogowego.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część pisemna,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Tr1A_W09, Tr1A_W10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T1A_W04, T1A_W07, T1A_W08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ma szczegółową wiedzę w zakresie urządzeń stosowanych w pomiarach dla różnych celów.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część pisemna,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Tr1A_W11, 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T1A_W06, T1A_W07, T1A_W08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ma podstawową wiedzę o trendach rozwojowych w konstrukcji urządzeń i technologii pomiarów.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egz. – część pisemna,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Tr1A_W08, 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T1A_W07, T1A_W08</w:t>
      </w:r>
    </w:p>
    <w:p>
      <w:pPr>
        <w:keepNext w:val="1"/>
        <w:spacing w:after="10"/>
      </w:pPr>
      <w:r>
        <w:rPr>
          <w:b/>
          <w:bCs/>
        </w:rPr>
        <w:t xml:space="preserve">Efekt W05: </w:t>
      </w:r>
    </w:p>
    <w:p>
      <w:pPr/>
      <w:r>
        <w:rPr/>
        <w:t xml:space="preserve">ma podstawową wiedzę nezbedną do rozumienia spolecznych, ekonomicznych i prawnych aspektów organizacji badań i wykonywania pomiarów.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część pisemna,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Tr1A_W09, Tr1A_W10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T1A_W04, T1A_W07,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planować i przeprowadzać eksperyment, proste badania i pomiary ruchu drogowego.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egz. – część pisemna, aktywność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T1A_U11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stosować odpowiednie metody do badań i analizy ruchu drogowego.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egz. – część pisemna aktywność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rozumie potrzebę uczenia się przez całe życie, przede wszystkim w celu podnoszenia swoich kompetencji zawodowych i osobistych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egz. – część ustna, aktywność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K02: </w:t>
      </w:r>
    </w:p>
    <w:p>
      <w:pPr/>
      <w:r>
        <w:rPr/>
        <w:t xml:space="preserve">potrafi myśleć i działać w sposób przedsiębiorczy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egz. – część ustna, aktywność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T1A_K05</w:t>
      </w:r>
    </w:p>
    <w:p>
      <w:pPr>
        <w:keepNext w:val="1"/>
        <w:spacing w:after="10"/>
      </w:pPr>
      <w:r>
        <w:rPr>
          <w:b/>
          <w:bCs/>
        </w:rPr>
        <w:t xml:space="preserve">Efekt K03: </w:t>
      </w:r>
    </w:p>
    <w:p>
      <w:pPr/>
      <w:r>
        <w:rPr/>
        <w:t xml:space="preserve">potrafi określić priorytet oraz identyfikować i rozstrzygać dylematy związane z realizacją określonego przez siebie lub innych zadania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egz. – część ustna, aktywność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2026-09-12T09:27:43+02:00</dcterms:created>
  <dcterms:modified xsi:type="dcterms:W3CDTF">2026-09-12T09:27:43+02:00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