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Paweł Drózd, as.,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54 godz., w tym: praca na ćwiczeniach laboratoryjnych 15 godz., zapoznanie się ze wskazana literaturą 10 godz., przygotowanie się do wykonania i zaliczenia ćwiczeń 25 godz., konsultacje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(19 godz., w tym: praca na ćwiczeniach laboratoryjnych 15 godz., konsultacje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(54 godz., w tym: praca na ćwiczeniach laboratoryjnych 15 godz., zapoznanie się ze wskazana literaturą 10 godz., przygotowanie się do wykonania i zaliczenia ćwiczeń 25 godz., konsultacje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przedmiotów: matematyka (arytmetyka liczb zespolonych, algebra macierzy, rząd macierzy, wyznaczniki i układy równań liniowych, pochodna - interpretacja fizyczna i geometryczna, równania różniczkowe I-go i II-go rzędu, algebra Boole’a), informatyka (MATLAB), elektrotechnika, podstawy elektroniki, podstawy automatyki.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nowoczesnych narzędzi i technik projektowania i badania elementów i układów automatyki. Poszerzenia wiedzy teoretycznej w zakresie nowoczesnych układów regulacji i sterowania.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Modelowanie i badanie członów dynamicznych w środowisku Matlab. Układy regulacji PID. Projektowanie układów automatyki środowisku SEE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wyznaczonych ćwiczeń laboratoryjnych, opracowanie sprawozdań z wykonanych ćwiczeń, ocena przygotowania i realizacji ćwiczeń przeprowadzana w trakcie trwania zajęć oraz zaliczenie materiału z poszczególnych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Amborski, Matusiak, Żydanowicz - Laboratorium podstaw automatyki
Frelek, Komar, Kruszyński, Markowski - Laboratorium podstaw automatyki
Pełczewski - Teoria sterowania
Traczyk - Układy cyfrowe automatyki
Żelazny - Podstawy automatyki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o układach regulacji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zasady działania i własnosci podstawowych elementów układów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zasady i zakres zastosowania układów regulacji w sterowaniu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zna podstawy komputerowego modelowania i projektowania i badania układów strowania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T1A_U07, 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planmować i przeprowadzać eksperymenty z wykorzystaniem technik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Tr1A_U10,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T1A_U07, T1A_U09, T1A_U09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korzystać z inzynierskich metod analitycznych symulacyjnych oraz  eksperymentalnych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Tr1A_U10,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T1A_U07, T1A_U09, T1A_U09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zoptymalizować parametry układu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w celu podnoszenia swoich kompetencji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wpływu działalności inżynierskiej na środowisko i odpowiedzialność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posiada umiejętność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Tr1A_K03, 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p>
      <w:pPr>
        <w:keepNext w:val="1"/>
        <w:spacing w:after="10"/>
      </w:pPr>
      <w:r>
        <w:rPr>
          <w:b/>
          <w:bCs/>
        </w:rPr>
        <w:t xml:space="preserve">Efekt K04: </w:t>
      </w:r>
    </w:p>
    <w:p>
      <w:pPr/>
      <w:r>
        <w:rPr/>
        <w:t xml:space="preserve">potrafi planować eksperymenty i określać priorytety w realizacji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Tr1A_K03, 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2026-09-11T16:45:24+02:00</dcterms:created>
  <dcterms:modified xsi:type="dcterms:W3CDTF">2026-09-11T16:45:24+02:00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