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w:t>
      </w:r>
    </w:p>
    <w:p>
      <w:pPr>
        <w:keepNext w:val="1"/>
        <w:spacing w:after="10"/>
      </w:pPr>
      <w:r>
        <w:rPr>
          <w:b/>
          <w:bCs/>
        </w:rPr>
        <w:t xml:space="preserve">Koordynator przedmiotu: </w:t>
      </w:r>
    </w:p>
    <w:p>
      <w:pPr>
        <w:spacing w:before="20" w:after="190"/>
      </w:pPr>
      <w:r>
        <w:rPr/>
        <w:t xml:space="preserve">mgr Tatiana Dąbrowska,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ćwiczeniach 60 godz., konsultacje 3 godz., praca własna studenta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(63 godziny, w tym: praca na ćwiczeniach 60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przypadku kontynuacji nauczania języka angielskiego nie mniej niż poziom B1 znajomości tego języka zgodnie z Europejskim Opisem Kształcenia Językowego.</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 wg Regulaminu zaliczania SJO, zgodnie z „Zasadami nauczania języków obcych na studiach stacjonarnych w Politechnice Warszawskiej” (Uchwała nr 114/XLVI/2006 Senatu PW z dnia 25 października 2006 r.), przy czym egzamin na poziomie B2 powinien być zdany nie później niż w sem. IV.</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dotyczące omawianych tematów, zna formy omawianych rodzajów tekstów, zna omawiane zagadnienia gramatyczne. Zna podstawowe słownictwo z zakresu studiowanej dziedziny.</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tworzyć różne rodzajów tekstów – list, wypełnić formularz, napisać ogłoszenie. Potrafi napisać porady.</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wypowiadać się na temat wspomnień, mówić o problemach dnia codziennego, porozmawiać na dany temat, potrafi brać udział w dyskusji zgadzając się z rozmówcą oraz potrafi wyrażać własne zdanie. Potrafi opowiedzieć zasłyszaną historię. Potrafi uzasadnić swoją wypowiedź. Potrafi krótko opowiedzieć o studiowanej przez siebie dziedzinie.</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Tr1A_U05, Tr1A_U07</w:t>
      </w:r>
    </w:p>
    <w:p>
      <w:pPr>
        <w:spacing w:before="20" w:after="190"/>
      </w:pPr>
      <w:r>
        <w:rPr>
          <w:b/>
          <w:bCs/>
        </w:rPr>
        <w:t xml:space="preserve">Powiązane efekty obszarowe: </w:t>
      </w:r>
      <w:r>
        <w:rPr/>
        <w:t xml:space="preserve">T1A_U01, T1A_U04, T1A_U06, T1A_U06</w:t>
      </w:r>
    </w:p>
    <w:p>
      <w:pPr>
        <w:keepNext w:val="1"/>
        <w:spacing w:after="10"/>
      </w:pPr>
      <w:r>
        <w:rPr>
          <w:b/>
          <w:bCs/>
        </w:rPr>
        <w:t xml:space="preserve">Efekt U03: </w:t>
      </w:r>
    </w:p>
    <w:p>
      <w:pPr/>
      <w:r>
        <w:rPr/>
        <w:t xml:space="preserve">Potrafi przeczytać i zrozumieć tekst dotyczący danego tematu, tekst dotyczący zagadnień związanych z dniem codziennym, potrafi przeczytać i zrozumieć rubryki w formularzu. Potrafi zrozumieć główne wątki przekazu tekstu z zakresu studiowanej dziedziny.</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krótkie komunikaty, potrafi zrozumieć audycję radiową dotyczącą omawianego tematu.</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grupie, dostosowania rejestru wypowiedzi do różnych sytuacji (np. na gruncie towarzyskim i oficjalnym), prowadzenia rozmowy i dyskusji.</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2024-05-16T08:50:38+02:00</dcterms:created>
  <dcterms:modified xsi:type="dcterms:W3CDTF">2024-05-16T08:50:38+02:00</dcterms:modified>
</cp:coreProperties>
</file>

<file path=docProps/custom.xml><?xml version="1.0" encoding="utf-8"?>
<Properties xmlns="http://schemas.openxmlformats.org/officeDocument/2006/custom-properties" xmlns:vt="http://schemas.openxmlformats.org/officeDocument/2006/docPropsVTypes"/>
</file>