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>
        <w:keepNext w:val="1"/>
        <w:spacing w:after="10"/>
      </w:pPr>
      <w:r>
        <w:rPr>
          <w:b/>
          <w:bCs/>
        </w:rPr>
        <w:t xml:space="preserve">Nazwa przedmiotu: </w:t>
      </w:r>
    </w:p>
    <w:p>
      <w:pPr>
        <w:spacing w:before="20" w:after="190"/>
      </w:pPr>
      <w:r>
        <w:rPr/>
        <w:t xml:space="preserve">Technologia wytwarzania i napraw pojazdów samochodowych II</w:t>
      </w:r>
    </w:p>
    <w:p>
      <w:pPr>
        <w:keepNext w:val="1"/>
        <w:spacing w:after="10"/>
      </w:pPr>
      <w:r>
        <w:rPr>
          <w:b/>
          <w:bCs/>
        </w:rPr>
        <w:t xml:space="preserve">Koordynator przedmiotu: </w:t>
      </w:r>
    </w:p>
    <w:p>
      <w:pPr>
        <w:spacing w:before="20" w:after="190"/>
      </w:pPr>
      <w:r>
        <w:rPr/>
        <w:t xml:space="preserve">dr inż. Witold Luty, ad., Wydział Transportu Politechniki Warszawskiej, Zakład Eksploatacji i Utrzymania Pojazdów </w:t>
      </w:r>
    </w:p>
    <w:p>
      <w:pPr>
        <w:keepNext w:val="1"/>
        <w:spacing w:after="10"/>
      </w:pPr>
      <w:r>
        <w:rPr>
          <w:b/>
          <w:bCs/>
        </w:rPr>
        <w:t xml:space="preserve">Status przedmiotu: </w:t>
      </w:r>
    </w:p>
    <w:p>
      <w:pPr>
        <w:spacing w:before="20" w:after="190"/>
      </w:pPr>
      <w:r>
        <w:rPr/>
        <w:t xml:space="preserve">Obowiązkowy</w:t>
      </w:r>
    </w:p>
    <w:p>
      <w:pPr>
        <w:keepNext w:val="1"/>
        <w:spacing w:after="10"/>
      </w:pPr>
      <w:r>
        <w:rPr>
          <w:b/>
          <w:bCs/>
        </w:rPr>
        <w:t xml:space="preserve">Poziom kształcenia: </w:t>
      </w:r>
    </w:p>
    <w:p>
      <w:pPr>
        <w:spacing w:before="20" w:after="190"/>
      </w:pPr>
      <w:r>
        <w:rPr/>
        <w:t xml:space="preserve">Studia I stopnia</w:t>
      </w:r>
    </w:p>
    <w:p>
      <w:pPr>
        <w:keepNext w:val="1"/>
        <w:spacing w:after="10"/>
      </w:pPr>
      <w:r>
        <w:rPr>
          <w:b/>
          <w:bCs/>
        </w:rPr>
        <w:t xml:space="preserve">Program: </w:t>
      </w:r>
    </w:p>
    <w:p>
      <w:pPr>
        <w:spacing w:before="20" w:after="190"/>
      </w:pPr>
      <w:r>
        <w:rPr/>
        <w:t xml:space="preserve">Transport</w:t>
      </w:r>
    </w:p>
    <w:p>
      <w:pPr>
        <w:keepNext w:val="1"/>
        <w:spacing w:after="10"/>
      </w:pPr>
      <w:r>
        <w:rPr>
          <w:b/>
          <w:bCs/>
        </w:rPr>
        <w:t xml:space="preserve">Grupa przedmiotów: </w:t>
      </w:r>
    </w:p>
    <w:p>
      <w:pPr>
        <w:spacing w:before="20" w:after="190"/>
      </w:pPr>
      <w:r>
        <w:rPr/>
        <w:t xml:space="preserve">Specjalnościowe</w:t>
      </w:r>
    </w:p>
    <w:p>
      <w:pPr>
        <w:keepNext w:val="1"/>
        <w:spacing w:after="10"/>
      </w:pPr>
      <w:r>
        <w:rPr>
          <w:b/>
          <w:bCs/>
        </w:rPr>
        <w:t xml:space="preserve">Kod przedmiotu: </w:t>
      </w:r>
    </w:p>
    <w:p>
      <w:pPr>
        <w:spacing w:before="20" w:after="190"/>
      </w:pPr>
      <w:r>
        <w:rPr/>
        <w:t xml:space="preserve">TR.NIS717</w:t>
      </w:r>
    </w:p>
    <w:p>
      <w:pPr>
        <w:keepNext w:val="1"/>
        <w:spacing w:after="10"/>
      </w:pPr>
      <w:r>
        <w:rPr>
          <w:b/>
          <w:bCs/>
        </w:rPr>
        <w:t xml:space="preserve">Semestr nominalny: </w:t>
      </w:r>
    </w:p>
    <w:p>
      <w:pPr>
        <w:spacing w:before="20" w:after="190"/>
      </w:pPr>
      <w:r>
        <w:rPr/>
        <w:t xml:space="preserve">7 / rok ak. 2013/2014</w:t>
      </w:r>
    </w:p>
    <w:p>
      <w:pPr>
        <w:keepNext w:val="1"/>
        <w:spacing w:after="10"/>
      </w:pPr>
      <w:r>
        <w:rPr>
          <w:b/>
          <w:bCs/>
        </w:rPr>
        <w:t xml:space="preserve">Liczba punktów ECTS: </w:t>
      </w:r>
    </w:p>
    <w:p>
      <w:pPr>
        <w:spacing w:before="20" w:after="190"/>
      </w:pPr>
      <w:r>
        <w:rPr/>
        <w:t xml:space="preserve">3</w:t>
      </w:r>
    </w:p>
    <w:p>
      <w:pPr>
        <w:keepNext w:val="1"/>
        <w:spacing w:after="10"/>
      </w:pPr>
      <w:r>
        <w:rPr>
          <w:b/>
          <w:bCs/>
        </w:rPr>
        <w:t xml:space="preserve">Liczba godzin pracy studenta związanych z osiągnięciem efektów uczenia się: </w:t>
      </w:r>
    </w:p>
    <w:p>
      <w:pPr>
        <w:spacing w:before="20" w:after="190"/>
      </w:pPr>
      <w:r>
        <w:rPr/>
        <w:t xml:space="preserve">90 godz, w tym: praca na ćwiczeniach 18 godz., studiowanie literatury 28 godz., konsultacje 4 godz, 
przygotowanie prezentacji 34 godz., przygotowanie do kolokwiów 6 godz.</w:t>
      </w:r>
    </w:p>
    <w:p>
      <w:pPr>
        <w:keepNext w:val="1"/>
        <w:spacing w:after="10"/>
      </w:pPr>
      <w:r>
        <w:rPr>
          <w:b/>
          <w:bCs/>
        </w:rPr>
        <w:t xml:space="preserve">Liczba punktów ECTS na zajęciach wymagających bezpośredniego udziału nauczycieli akademickich: </w:t>
      </w:r>
    </w:p>
    <w:p>
      <w:pPr>
        <w:spacing w:before="20" w:after="190"/>
      </w:pPr>
      <w:r>
        <w:rPr/>
        <w:t xml:space="preserve">1,0 pkt. ECTS (20 godz., w tym praca na ćwiczeniach 18,	
konsultacje 2 godz.) </w:t>
      </w:r>
    </w:p>
    <w:p>
      <w:pPr>
        <w:keepNext w:val="1"/>
        <w:spacing w:after="10"/>
      </w:pPr>
      <w:r>
        <w:rPr>
          <w:b/>
          <w:bCs/>
        </w:rPr>
        <w:t xml:space="preserve">Język prowadzenia zajęć: </w:t>
      </w:r>
    </w:p>
    <w:p>
      <w:pPr>
        <w:spacing w:before="20" w:after="190"/>
      </w:pPr>
      <w:r>
        <w:rPr/>
        <w:t xml:space="preserve">polski</w:t>
      </w:r>
    </w:p>
    <w:p>
      <w:pPr>
        <w:keepNext w:val="1"/>
        <w:spacing w:after="10"/>
      </w:pPr>
      <w:r>
        <w:rPr>
          <w:b/>
          <w:bCs/>
        </w:rPr>
        <w:t xml:space="preserve">Liczba punktów ECTS, którą student uzyskuje w ramach zajęć o charakterze praktycznym: </w:t>
      </w:r>
    </w:p>
    <w:p>
      <w:pPr>
        <w:spacing w:before="20" w:after="190"/>
      </w:pPr>
      <w:r>
        <w:rPr/>
        <w:t xml:space="preserve">1,5 pkt. ECTS (38 godz., w tym: przygotowanie prezentacji  34 godz., wygłoszenie prezentacji 2 godz., konsultacje 2 godz.)</w:t>
      </w:r>
    </w:p>
    <w:p>
      <w:pPr>
        <w:keepNext w:val="1"/>
        <w:spacing w:after="10"/>
      </w:pPr>
      <w:r>
        <w:rPr>
          <w:b/>
          <w:bCs/>
        </w:rPr>
        <w:t xml:space="preserve">Formy zajęć i ich wymiar w semestrze: </w:t>
      </w:r>
    </w:p>
    <w:tbl>
      <w:tblGrid>
        <w:gridCol w:w="2200" w:type="dxa"/>
        <w:gridCol w:w="2200" w:type="dxa"/>
      </w:tblGrid>
      <w:tblPr>
        <w:tblW w:w="2500" w:type="auto"/>
        <w:tblBorders>
          <w:top w:val="single" w:sz="0" w:color="FFFFFF"/>
          <w:left w:val="single" w:sz="0" w:color="FFFFFF"/>
          <w:right w:val="single" w:sz="0" w:color="FFFFFF"/>
          <w:bottom w:val="single" w:sz="0" w:color="FFFFFF"/>
          <w:insideH w:val="single" w:sz="0" w:color="FFFFFF"/>
          <w:insideV w:val="single" w:sz="0" w:color="FFFFFF"/>
        </w:tblBorders>
      </w:tblP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Wykład: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Ćwiczenia: </w:t>
            </w:r>
          </w:p>
        </w:tc>
        <w:tc>
          <w:tcPr>
            <w:tcW w:w="2200" w:type="dxa"/>
          </w:tcPr>
          <w:p>
            <w:pPr/>
            <w:r>
              <w:rPr/>
              <w:t xml:space="preserve">30h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Laboratorium: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Projekt: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  <w:tr>
        <w:trPr>
          <w:trHeight w:val="250" w:hRule="atLeast"/>
        </w:trPr>
        <w:tc>
          <w:tcPr>
            <w:tcW w:w="2200" w:type="dxa"/>
          </w:tcPr>
          <w:p>
            <w:pPr/>
            <w:r>
              <w:rPr/>
              <w:t xml:space="preserve">Lekcje komputerowe: </w:t>
            </w:r>
          </w:p>
        </w:tc>
        <w:tc>
          <w:tcPr>
            <w:tcW w:w="2200" w:type="dxa"/>
          </w:tcPr>
          <w:p>
            <w:pPr/>
            <w:r>
              <w:rPr/>
              <w:t xml:space="preserve">0h</w:t>
            </w:r>
          </w:p>
        </w:tc>
      </w:tr>
    </w:tbl>
    <w:p/>
    <w:p>
      <w:pPr>
        <w:keepNext w:val="1"/>
        <w:spacing w:after="10"/>
      </w:pPr>
      <w:r>
        <w:rPr>
          <w:b/>
          <w:bCs/>
        </w:rPr>
        <w:t xml:space="preserve">Wymagania wstępne: </w:t>
      </w:r>
    </w:p>
    <w:p>
      <w:pPr>
        <w:spacing w:before="20" w:after="190"/>
      </w:pPr>
      <w:r>
        <w:rPr/>
        <w:t xml:space="preserve">- podstawy technologii wytwarzania,
- podstawy materiałoznawstwa, 
- podstawy zapisu konstrukcji,
- podstawy mechaniki 
</w:t>
      </w:r>
    </w:p>
    <w:p>
      <w:pPr>
        <w:keepNext w:val="1"/>
        <w:spacing w:after="10"/>
      </w:pPr>
      <w:r>
        <w:rPr>
          <w:b/>
          <w:bCs/>
        </w:rPr>
        <w:t xml:space="preserve">Limit liczby studentów: </w:t>
      </w:r>
    </w:p>
    <w:p>
      <w:pPr>
        <w:spacing w:before="20" w:after="190"/>
      </w:pPr>
      <w:r>
        <w:rPr/>
        <w:t xml:space="preserve">grupy ćwiczeniowe do 30 osób</w:t>
      </w:r>
    </w:p>
    <w:p>
      <w:pPr>
        <w:keepNext w:val="1"/>
        <w:spacing w:after="10"/>
      </w:pPr>
      <w:r>
        <w:rPr>
          <w:b/>
          <w:bCs/>
        </w:rPr>
        <w:t xml:space="preserve">Cel przedmiotu: </w:t>
      </w:r>
    </w:p>
    <w:p>
      <w:pPr>
        <w:spacing w:before="20" w:after="190"/>
      </w:pPr>
      <w:r>
        <w:rPr/>
        <w:t xml:space="preserve">Zapoznanie się z technikami i metodami naprawy samochodów. Poznanie zasad opracowywania dokumentacji technologicznej procesu produkcji lub naprawy.
</w:t>
      </w:r>
    </w:p>
    <w:p>
      <w:pPr>
        <w:keepNext w:val="1"/>
        <w:spacing w:after="10"/>
      </w:pPr>
      <w:r>
        <w:rPr>
          <w:b/>
          <w:bCs/>
        </w:rPr>
        <w:t xml:space="preserve">Treści kształcenia: </w:t>
      </w:r>
    </w:p>
    <w:p>
      <w:pPr>
        <w:spacing w:before="20" w:after="190"/>
      </w:pPr>
      <w:r>
        <w:rPr/>
        <w:t xml:space="preserve">Rodzaje i zakres stosowania systemów napraw pojazdów. Sposoby weryfikacji części w procesie naprawy. Stosowanie wymiarów naprawczych i elementów dodatkowych. Metody napraw części pojazdów i ich zakres stosowania. Zastosowanie tworzyw sztucznych w procesach naprawczych – klejenie i procesy pokrewne. Dokumentacja technologiczna procesu wytwarzania i naprawy elementów samochodowych – kalkulacja czasu i kosztów. Naprawa wybranych elementów pojazdów w przykładach.</w:t>
      </w:r>
    </w:p>
    <w:p>
      <w:pPr>
        <w:keepNext w:val="1"/>
        <w:spacing w:after="10"/>
      </w:pPr>
      <w:r>
        <w:rPr>
          <w:b/>
          <w:bCs/>
        </w:rPr>
        <w:t xml:space="preserve">Metody oceny: </w:t>
      </w:r>
    </w:p>
    <w:p>
      <w:pPr>
        <w:spacing w:before="20" w:after="190"/>
      </w:pPr>
      <w:r>
        <w:rPr/>
        <w:t xml:space="preserve">kolokwium,
ocena z przygotowania prezentacji w wydzielonym zespole</w:t>
      </w:r>
    </w:p>
    <w:p>
      <w:pPr>
        <w:keepNext w:val="1"/>
        <w:spacing w:after="10"/>
      </w:pPr>
      <w:r>
        <w:rPr>
          <w:b/>
          <w:bCs/>
        </w:rPr>
        <w:t xml:space="preserve">Egzamin: </w:t>
      </w:r>
    </w:p>
    <w:p>
      <w:pPr>
        <w:spacing w:before="20" w:after="190"/>
      </w:pPr>
      <w:r>
        <w:rPr/>
        <w:t xml:space="preserve">nie</w:t>
      </w:r>
    </w:p>
    <w:p>
      <w:pPr>
        <w:keepNext w:val="1"/>
        <w:spacing w:after="10"/>
      </w:pPr>
      <w:r>
        <w:rPr>
          <w:b/>
          <w:bCs/>
        </w:rPr>
        <w:t xml:space="preserve">Literatura: </w:t>
      </w:r>
    </w:p>
    <w:p>
      <w:pPr>
        <w:spacing w:before="20" w:after="190"/>
      </w:pPr>
      <w:r>
        <w:rPr/>
        <w:t xml:space="preserve">Ashby M.F.: Dobór materiałów w projektowaniu inżynierskim. WNT, Warszawa, 1998.
2. Feld M.: Projektowanie procesów technologicznych typowych części maszyn. WNT,
2000.
3. Czasopisma AutoMoto Serwis, Auto Expert, Transport – Technika Motoryzacyjna,
Maszyny, Technologie, Materiały.
4. Kostrzewa S., Nowak B.: Podstawy regeneracji części pojazdów samochodowych. WKiŁ,
1986.
5. Nowak B.: Regeneracja typowych elementów pojazdów samochodowych. WKiŁ, 1985
6. Florek i inni: Remont pojazdów mechanicznych. Częśc I i II (skrypt). Wyd. WAT, 1987.
</w:t>
      </w:r>
    </w:p>
    <w:p>
      <w:pPr>
        <w:keepNext w:val="1"/>
        <w:spacing w:after="10"/>
      </w:pPr>
      <w:r>
        <w:rPr>
          <w:b/>
          <w:bCs/>
        </w:rPr>
        <w:t xml:space="preserve">Witryna www przedmiotu: </w:t>
      </w:r>
    </w:p>
    <w:p>
      <w:pPr>
        <w:spacing w:before="20" w:after="190"/>
      </w:pPr>
      <w:r>
        <w:rPr/>
        <w:t xml:space="preserve">www.wt.pw.edu.pl</w:t>
      </w:r>
    </w:p>
    <w:p>
      <w:pPr>
        <w:keepNext w:val="1"/>
        <w:spacing w:after="10"/>
      </w:pPr>
      <w:r>
        <w:rPr>
          <w:b/>
          <w:bCs/>
        </w:rPr>
        <w:t xml:space="preserve">Uwagi: </w:t>
      </w:r>
    </w:p>
    <w:p>
      <w:pPr>
        <w:spacing w:before="20" w:after="190"/>
      </w:pPr>
      <w:r>
        <w:rPr/>
        <w:t xml:space="preserve"/>
      </w:r>
    </w:p>
    <w:p>
      <w:pPr>
        <w:pStyle w:val="Heading2"/>
      </w:pPr>
      <w:bookmarkStart w:id="1" w:name="_Toc1"/>
      <w:r>
        <w:t>Efekty przedmiotowe</w:t>
      </w:r>
      <w:bookmarkEnd w:id="1"/>
    </w:p>
    <w:p>
      <w:pPr>
        <w:pStyle w:val="Heading3"/>
      </w:pPr>
      <w:bookmarkStart w:id="2" w:name="_Toc2"/>
      <w:r>
        <w:t>Profil ogólnoakademicki - wiedza</w:t>
      </w:r>
      <w:bookmarkEnd w:id="2"/>
    </w:p>
    <w:p>
      <w:pPr>
        <w:keepNext w:val="1"/>
        <w:spacing w:after="10"/>
      </w:pPr>
      <w:r>
        <w:rPr>
          <w:b/>
          <w:bCs/>
        </w:rPr>
        <w:t xml:space="preserve">Efekt W01: </w:t>
      </w:r>
    </w:p>
    <w:p>
      <w:pPr/>
      <w:r>
        <w:rPr/>
        <w:t xml:space="preserve">Zna rodzaje i zakresy stosowania systemów napraw pojazdów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W02: </w:t>
      </w:r>
    </w:p>
    <w:p>
      <w:pPr/>
      <w:r>
        <w:rPr/>
        <w:t xml:space="preserve">Zna metody weryfikacji części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W03: </w:t>
      </w:r>
    </w:p>
    <w:p>
      <w:pPr/>
      <w:r>
        <w:rPr/>
        <w:t xml:space="preserve">Zna zasady stosowania wymiarów naprawczych w procesie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W04: </w:t>
      </w:r>
    </w:p>
    <w:p>
      <w:pPr/>
      <w:r>
        <w:rPr/>
        <w:t xml:space="preserve">Zna metody napraw części pojazdów 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keepNext w:val="1"/>
        <w:spacing w:after="10"/>
      </w:pPr>
      <w:r>
        <w:rPr>
          <w:b/>
          <w:bCs/>
        </w:rPr>
        <w:t xml:space="preserve">Efekt W05: </w:t>
      </w:r>
    </w:p>
    <w:p>
      <w:pPr/>
      <w:r>
        <w:rPr/>
        <w:t xml:space="preserve">Zna zasady przygotowania dokumentacji technologicznej wytwarzania i naprawy pojazdów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kolokwium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Tr1A_W09, Tr1A_W07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T1A_W04, T1A_W05, T1A_W08, T1A_W02, T1A_W07, T1A_W08</w:t>
      </w:r>
    </w:p>
    <w:p>
      <w:pPr>
        <w:pStyle w:val="Heading3"/>
      </w:pPr>
      <w:bookmarkStart w:id="3" w:name="_Toc3"/>
      <w:r>
        <w:t>Profil ogólnoakademicki - umiejętności</w:t>
      </w:r>
      <w:bookmarkEnd w:id="3"/>
    </w:p>
    <w:p>
      <w:pPr>
        <w:keepNext w:val="1"/>
        <w:spacing w:after="10"/>
      </w:pPr>
      <w:r>
        <w:rPr>
          <w:b/>
          <w:bCs/>
        </w:rPr>
        <w:t xml:space="preserve">Efekt U01: </w:t>
      </w:r>
    </w:p>
    <w:p>
      <w:pPr/>
      <w:r>
        <w:rPr/>
        <w:t xml:space="preserve">Potrafi wybrać i uzasadnić dobór techniki naprawy elementów pojazdu 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Tr1A_U20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T1A_U14</w:t>
      </w:r>
    </w:p>
    <w:p>
      <w:pPr>
        <w:keepNext w:val="1"/>
        <w:spacing w:after="10"/>
      </w:pPr>
      <w:r>
        <w:rPr>
          <w:b/>
          <w:bCs/>
        </w:rPr>
        <w:t xml:space="preserve">Efekt U02: </w:t>
      </w:r>
    </w:p>
    <w:p>
      <w:pPr/>
      <w:r>
        <w:rPr/>
        <w:t xml:space="preserve">Potrafi  przygotować elementy dokumentacji technologicznej procesu produkcji lub naprawy części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Tr1A_U25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T1A_U01, T1A_U16</w:t>
      </w:r>
    </w:p>
    <w:p>
      <w:pPr>
        <w:keepNext w:val="1"/>
        <w:spacing w:after="10"/>
      </w:pPr>
      <w:r>
        <w:rPr>
          <w:b/>
          <w:bCs/>
        </w:rPr>
        <w:t xml:space="preserve">Efekt U03: </w:t>
      </w:r>
    </w:p>
    <w:p>
      <w:pPr/>
      <w:r>
        <w:rPr/>
        <w:t xml:space="preserve">Potrafi  przygotować  i wygłosić prezentację na temat naprawy wybranego elementu pojazdu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Tr1A_U06, Tr1A_U05, Tr1A_U01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T1A_U05, T1A_U01, T1A_U04, T1A_U06, T1A_U01</w:t>
      </w:r>
    </w:p>
    <w:p>
      <w:pPr>
        <w:pStyle w:val="Heading3"/>
      </w:pPr>
      <w:bookmarkStart w:id="4" w:name="_Toc4"/>
      <w:r>
        <w:t>Profil ogólnoakademicki - kompetencje społeczne</w:t>
      </w:r>
      <w:bookmarkEnd w:id="4"/>
    </w:p>
    <w:p>
      <w:pPr>
        <w:keepNext w:val="1"/>
        <w:spacing w:after="10"/>
      </w:pPr>
      <w:r>
        <w:rPr>
          <w:b/>
          <w:bCs/>
        </w:rPr>
        <w:t xml:space="preserve">Efekt K01: </w:t>
      </w:r>
    </w:p>
    <w:p>
      <w:pPr/>
      <w:r>
        <w:rPr/>
        <w:t xml:space="preserve">Rozumie potrzebę uczenia się przez całe życie, przede wszystkim w celu podnoszenia swoich kompetencji zawodowych i osobistych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Tr1A_K01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T1A_K01</w:t>
      </w:r>
    </w:p>
    <w:p>
      <w:pPr>
        <w:keepNext w:val="1"/>
        <w:spacing w:after="10"/>
      </w:pPr>
      <w:r>
        <w:rPr>
          <w:b/>
          <w:bCs/>
        </w:rPr>
        <w:t xml:space="preserve">Efekt K02: </w:t>
      </w:r>
    </w:p>
    <w:p>
      <w:pPr/>
      <w:r>
        <w:rPr/>
        <w:t xml:space="preserve">Potrafi współdziałać w zespole wydzielonym do realizacji przydzielonego zadania w ramach ćwiczeń</w:t>
      </w:r>
    </w:p>
    <w:p>
      <w:pPr>
        <w:spacing w:before="60"/>
      </w:pPr>
      <w:r>
        <w:rPr/>
        <w:t xml:space="preserve">Weryfikacja: </w:t>
      </w:r>
    </w:p>
    <w:p>
      <w:pPr>
        <w:spacing w:before="20" w:after="190"/>
      </w:pPr>
      <w:r>
        <w:rPr/>
        <w:t xml:space="preserve">ocena z przygotowanej prezentacji oraz sposobu jej wygłoszenia</w:t>
      </w:r>
    </w:p>
    <w:p>
      <w:pPr>
        <w:spacing w:before="20" w:after="190"/>
      </w:pPr>
      <w:r>
        <w:rPr>
          <w:b/>
          <w:bCs/>
        </w:rPr>
        <w:t xml:space="preserve">Powiązane efekty kierunkowe: </w:t>
      </w:r>
      <w:r>
        <w:rPr/>
        <w:t xml:space="preserve">Tr1A_K03</w:t>
      </w:r>
    </w:p>
    <w:p>
      <w:pPr>
        <w:spacing w:before="20" w:after="190"/>
      </w:pPr>
      <w:r>
        <w:rPr>
          <w:b/>
          <w:bCs/>
        </w:rPr>
        <w:t xml:space="preserve">Powiązane efekty obszarowe: </w:t>
      </w:r>
      <w:r>
        <w:rPr/>
        <w:t xml:space="preserve">T1A_K03</w:t>
      </w:r>
    </w:p>
    <w:sectPr>
      <w:pgSz w:orient="portrait" w:w="11905.511811023622" w:h="16837.79527559055"/>
      <w:pgMar w:top="1440" w:right="1440" w:bottom="1440" w:left="144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</w:fonts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Arial" w:hAnsi="Arial" w:eastAsia="Arial" w:cs="Arial"/>
        <w:sz w:val="20"/>
        <w:szCs w:val="20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  <w:style w:type="paragraph" w:styleId="Heading2">
    <w:link w:val="Heading2Char"/>
    <w:name w:val="heading 2"/>
    <w:basedOn w:val="Normal"/>
    <w:pPr>
      <w:spacing w:before="40" w:after="190"/>
    </w:pPr>
    <w:rPr>
      <w:sz w:val="34"/>
      <w:szCs w:val="34"/>
      <w:b/>
      <w:bCs/>
    </w:rPr>
  </w:style>
  <w:style w:type="paragraph" w:styleId="Heading3">
    <w:link w:val="Heading3Char"/>
    <w:name w:val="heading 3"/>
    <w:basedOn w:val="Normal"/>
    <w:pPr>
      <w:spacing w:before="40" w:after="190"/>
    </w:pPr>
    <w:rPr>
      <w:sz w:val="26"/>
      <w:szCs w:val="26"/>
      <w:b/>
      <w:bCs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2026-08-02T19:21:32+02:00</dcterms:created>
  <dcterms:modified xsi:type="dcterms:W3CDTF">2026-08-02T19:21:32+02:00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