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30 h
Przygotowanie do kolokwium 20 h
Przygotowanie prezentacji i praca własna 15 h
Konsultacje 4-5 h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NK335_W1: </w:t>
      </w:r>
    </w:p>
    <w:p>
      <w:pPr/>
      <w:r>
        <w:rPr/>
        <w:t xml:space="preserve">							Wie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NK335_W2: </w:t>
      </w:r>
    </w:p>
    <w:p>
      <w:pPr/>
      <w:r>
        <w:rPr/>
        <w:t xml:space="preserve">							Ma wiedzę dotyczącą kryteriów porównawczych różnych materiałów do budowy lotniczych, w tym wskaźników lekkościowych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NK335_U6 - zadania: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NK335_K2: </w:t>
      </w:r>
    </w:p>
    <w:p>
      <w:pPr/>
      <w:r>
        <w:rPr/>
        <w:t xml:space="preserve">							Student potrafi przeprowadzić analizę kosztów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2026-04-07T00:01:36+02:00</dcterms:created>
  <dcterms:modified xsi:type="dcterms:W3CDTF">2026-04-07T00:01:36+02:00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