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Paturski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Przeciętnie dwie (2) godziny tygodniowo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Mechanika Lotu 1 (NK472)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??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w zakresie równowagi, statycznej stateczności i sterowności podłużnej i bocznej samolotu oraz prostych ruchów przestrzennych samolotu.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Momenty podłużne działające na samolot w czasie lotu. Podłużna równowaga i siły w układzie sterowania sterem wysokości w locie prostoliniowym ustalonym. Ustalony ruch samolotu ze współczynnikiem obciążeń różnym od jedności. Statyczna stateczność i sterowność samolotu względem prędkości i przeciążenia. Problem położenia środka masy samolotu. Aerodynamiczne boczne siły i momenty. Boczna równowaga, statyczna stateczność i sterowność. Wstęp do dynamiki lotu samolotu: proste przypadki ustalonych i nieustalonych ruchów przestrzennych samolotu. Podstawowe postacie własne ruchów samolotu.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praca kontrolna obejmująca rozwiązanie zadania obliczeniowego z zakresu podłużnej równowagi, statycznej stateczności i sterowności samolotu oraz pięć projektów obliczeniowych, ocenianych w klasycznej skali od „2” do „5”. Oceny projektów obejmują poprawność merytoryczną rozwiązania problemu i wykonania projektu, otrzymane wyniki oraz estetykę redakcji prac. Zaliczenie przedmiotu następuje po uzyskaniu przez studenta oceny pozytywnej z pracy kontrolnej oraz pozytywnych ocen z co najmniej trzech projektów. Regulamin przedmiotu, szczegółowe wymagania i zalecenia dotyczące projektów znajdują się na stronie internetowej Zakładu Mechaniki. Praca własna: pięć projektów obejmujących problematykę podłużnej równowagi, statycznej stateczności i sterowności samolotu, zakrętu ustalonego oraz ruchów fugoidalnych samolotu.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Fiszdon – Mechanika Lotu, t. 1 i 2 PWN Warszawa-Łódź 1961 2. R. Aleksandrowicz, J. Maryniak, W. Łucjanek – Zbiór zadań z Mechaniki Lotu, PWN Warszawa-Łódź 1963 3. B. Etkin – Dynamics of Atmospheric Flight, John Wiley &amp; Sohns, New York-Toronto 1972 Dodatkowe literatura: Materiały na stronie internetowej Zakładu Mechaniki.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http://www.meil.pw.edu.pl/zm/ZM/Dydaktyka/Do-pobrania/Mechanika-Lotu-II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NK457_W1: </w:t>
      </w:r>
    </w:p>
    <w:p>
      <w:pPr/>
      <w:r>
        <w:rPr/>
        <w:t xml:space="preserve">zna szczegółowo charakterystyki aerodynamiczne podłużne typowych aerodyn w zakresie niezbędnym do analizy podłużnej równowagi, statycznej stateczności i sterowności, oraz potrafi oszacować te charakterystyki na podstawie rysunków i danych aparatu latającego;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T1A_W07</w:t>
      </w:r>
    </w:p>
    <w:p>
      <w:pPr>
        <w:keepNext w:val="1"/>
        <w:spacing w:after="10"/>
      </w:pPr>
      <w:r>
        <w:rPr>
          <w:b/>
          <w:bCs/>
        </w:rPr>
        <w:t xml:space="preserve">Efekt NK457_W2: </w:t>
      </w:r>
    </w:p>
    <w:p>
      <w:pPr/>
      <w:r>
        <w:rPr/>
        <w:t xml:space="preserve">							zna definicje i sens statycznych zapasów stateczności i sterowności oraz kryteriów statycznej sterowności aerodyny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T1A_W07</w:t>
      </w:r>
    </w:p>
    <w:p>
      <w:pPr>
        <w:keepNext w:val="1"/>
        <w:spacing w:after="10"/>
      </w:pPr>
      <w:r>
        <w:rPr>
          <w:b/>
          <w:bCs/>
        </w:rPr>
        <w:t xml:space="preserve">Efekt NK457_W3: </w:t>
      </w:r>
    </w:p>
    <w:p>
      <w:pPr/>
      <w:r>
        <w:rPr/>
        <w:t xml:space="preserve">zna w zakresie ogólnym boczne (asymetryczne) charakterystyki aerodynamiczne i boczne statyczne kryteria statecznościowe i sterownościowe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NK457_U1: </w:t>
      </w:r>
    </w:p>
    <w:p>
      <w:pPr/>
      <w:r>
        <w:rPr/>
        <w:t xml:space="preserve">							umie konstruować proste modele fizyczne i matematyczne opisujące równowagę podłużną i boczną aerodyny oraz proste przypadki krzywoliniowych ustalonych i nieustalonych ruchów statku powietrznego;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LiK1_U18,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T1A_U14</w:t>
      </w:r>
    </w:p>
    <w:p>
      <w:pPr>
        <w:keepNext w:val="1"/>
        <w:spacing w:after="10"/>
      </w:pPr>
      <w:r>
        <w:rPr>
          <w:b/>
          <w:bCs/>
        </w:rPr>
        <w:t xml:space="preserve">Efekt NK457_U2: </w:t>
      </w:r>
    </w:p>
    <w:p>
      <w:pPr/>
      <w:r>
        <w:rPr/>
        <w:t xml:space="preserve">umie wyznaczać na podstawie tych modeli statyczne kryteria statecznościowe i sterownościowe oraz analizować ruchy krzywoliniowe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LiK1_U18,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T1A_U14</w:t>
      </w:r>
    </w:p>
    <w:p>
      <w:pPr>
        <w:keepNext w:val="1"/>
        <w:spacing w:after="10"/>
      </w:pPr>
      <w:r>
        <w:rPr>
          <w:b/>
          <w:bCs/>
        </w:rPr>
        <w:t xml:space="preserve">Efekt NK457_U3: </w:t>
      </w:r>
    </w:p>
    <w:p>
      <w:pPr/>
      <w:r>
        <w:rPr/>
        <w:t xml:space="preserve">potrafić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LiK1_U18,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2024-05-19T12:00:22+02:00</dcterms:created>
  <dcterms:modified xsi:type="dcterms:W3CDTF">2024-05-19T12:00:22+02:00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