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(2) godziny tygodniowo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Mechanika Lotu 1 (NK472)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latającego;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NK457_W2: </w:t>
      </w:r>
    </w:p>
    <w:p>
      <w:pPr/>
      <w:r>
        <w:rPr/>
        <w:t xml:space="preserve">							zna definicje i sens statycznych zapasów stateczności i sterowności oraz kryteriów statycznej sterowności aerodyny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NK457_W3: </w:t>
      </w:r>
    </w:p>
    <w:p>
      <w:pPr/>
      <w:r>
        <w:rPr/>
        <w:t xml:space="preserve">zna w zakresie ogólnym boczne (asymetryczne) charakterystyki aerodynamiczne i boczne statyczne kryteria statecznościowe i sterownościowe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NK457_U2: </w:t>
      </w:r>
    </w:p>
    <w:p>
      <w:pPr/>
      <w:r>
        <w:rPr/>
        <w:t xml:space="preserve">umie wyznaczać na podstawie tych modeli statyczne kryteria statecznościowe i sterownościowe oraz analizować ruchy krzywoliniowe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NK457_U3: </w:t>
      </w:r>
    </w:p>
    <w:p>
      <w:pPr/>
      <w:r>
        <w:rPr/>
        <w:t xml:space="preserve">potrafić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2026-08-02T10:45:52+02:00</dcterms:created>
  <dcterms:modified xsi:type="dcterms:W3CDTF">2026-08-02T10:45:52+02:00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