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Gadomski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30 godz. - projekt
b) 5 godz. - konsultacje
2. Praca własna studenta: 15 godz., w tym:
a) 15 godz. - praca nad przygotowaniem projektu konstrukcyjnego
3. Razem - 50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30 godz. - projekt
b) 5 godz.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  a) uczestnictwo w zajęciach projektowych - 30 godz.
b) 15 godz. pracy własnej - przygotowanie projektu konstrukcyjnego.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II, Materiały I, Materiały lotnicze, Techniki Wytwarzania II, Podstawy Konstrukcji Maszyn III, Zapis Konstrukcji CAD II, Zintegrowane systemy CAD/CAM/CAE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podzespołów lotniczych lub układów napędowych.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Między innymi projekty podzespołów statków latających. Kształtowanie elementów urządzenia oraz połączeń między nimi. Dobór materiałów. Obliczenia kinematyki, statyki i wytrzymałości elementów urządzenia. Wykonanie w systemie CAD rysunku złożeniowego podzespołu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
2. Sprawdzenie i ocena oddanej w ściśle określonym terminie dokumentacji rysunkowej i obliczeniowej
3. Omówienie z prowadzącym sprawdzonego projektu – analiza błędów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Podstawy konstrukcji maszyn, praca zbiorowa pod redakcją M.Dietricha, WNT; 2. L.W. Kurmaz, Projektowanie węzłów i części maszyn, Wydawnictwo Politechniki Świętokrzyskiej; 3. Poradnik Mechanika; 4. Katalog Łożysk Tocznych; 5. Materiały dostarczone przez wykładowcę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NK368_W1: </w:t>
      </w:r>
    </w:p>
    <w:p>
      <w:pPr/>
      <w:r>
        <w:rPr/>
        <w:t xml:space="preserve">							Zna zasady doboru materiałów konstrukcyjnych w procesie projektowania maszyn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NK368_W2: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NK368_U1: </w:t>
      </w:r>
    </w:p>
    <w:p>
      <w:pPr/>
      <w:r>
        <w:rPr/>
        <w:t xml:space="preserve">							Potrafi zaprojektować układ przeniesienia napędu lub fragment struktur nośnej  statku latającego realizujący ściśle określoną funkcję i spełniający narzucone z góry założenia konstrukcyjne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LiK1_U17,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T1A_U13, T1A_U14</w:t>
      </w:r>
    </w:p>
    <w:p>
      <w:pPr>
        <w:keepNext w:val="1"/>
        <w:spacing w:after="10"/>
      </w:pPr>
      <w:r>
        <w:rPr>
          <w:b/>
          <w:bCs/>
        </w:rPr>
        <w:t xml:space="preserve">Efekt NK368_U2: </w:t>
      </w:r>
    </w:p>
    <w:p>
      <w:pPr/>
      <w:r>
        <w:rPr/>
        <w:t xml:space="preserve">							Potrafi sporządzić model uproszczony urządzenia pozwalający na przeprowadzenie poprawnej analizy w zakresie kinematyki i statyki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NK368_U3: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NK368_U4: </w:t>
      </w:r>
    </w:p>
    <w:p>
      <w:pPr/>
      <w:r>
        <w:rPr/>
        <w:t xml:space="preserve">							Potrafi wykorzystywać systemy wspomagania projektowania typu CAD/CAE na wszystkich etapach projektowania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NK368_U5: </w:t>
      </w:r>
    </w:p>
    <w:p>
      <w:pPr/>
      <w:r>
        <w:rPr/>
        <w:t xml:space="preserve">							Jest w stanie zaproponować i zastosować podparcie elementów przeniesienia napędu na łożyskach różnego typu o odpowiedniej trwałości, właściwie osadzonych, smarowanych, uszczelnionych i zabezpieczonych; potrafi zaproponować i zastosować dla członów pary kinematycznej łatwe w montażu i demontażu obrotowe połączenie sworzniowe lub inne.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NK368_U6: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NK368_U7: </w:t>
      </w:r>
    </w:p>
    <w:p>
      <w:pPr/>
      <w:r>
        <w:rPr/>
        <w:t xml:space="preserve">							Potrafi zaprojektować urządzenie w którym przewidziano odpowiednie dostępy montażowe i obsługowe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NK368_U8: </w:t>
      </w:r>
    </w:p>
    <w:p>
      <w:pPr/>
      <w:r>
        <w:rPr/>
        <w:t xml:space="preserve">							Potrafi odszukać i stosować gotowe podzespoły układów napędowych dostępne na rynku, umie korzystać z odpowiednich norm, specyfikacji materiałów konstrukcyjnych i przepisów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2024-05-19T13:57:39+02:00</dcterms:created>
  <dcterms:modified xsi:type="dcterms:W3CDTF">2024-05-19T13:57:39+02:00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