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NK468A</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30h - wykład
16h - utrwalenie wiedzy zdobytej na wykładach
40h - przygotowanie do kolokwiów
4h - konsultacje z prowadzącym
</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30h - wykład
4h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Sprawdzian wiedzy w postaci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Jacek Nowicki, Krzysztof Zięcina, Samoloty kosmiczne, 1989
AIAA Aerospace Design, Engineering Guide
Charles D. Brown, : “Element of Spacecraft Design”, AIAA Education Series
http://www.nasa.gov/home/
http://www.esa.int/esaCP/index.html
http://www.jaxa.jp/index_e.html
http://www.unoosa.org/oosa/en/COPUOS/copuos.html
oraz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NK468A_W2: </w:t>
      </w:r>
    </w:p>
    <w:p>
      <w:pPr/>
      <w:r>
        <w:rPr/>
        <w:t xml:space="preserve">							Student posiada wiedzę o: zasadach ruchu sztucznych satelitów i rakiet kosmicznych, rodzajach orbit; chemicznych i przyszłościowych napędów kosmicznych, lotach załogowych i bezzałogowych badaniach przestrzeni kosmicznej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2026-07-12T15:34:25+02:00</dcterms:created>
  <dcterms:modified xsi:type="dcterms:W3CDTF">2026-07-12T15:34:25+02:00</dcterms:modified>
</cp:coreProperties>
</file>

<file path=docProps/custom.xml><?xml version="1.0" encoding="utf-8"?>
<Properties xmlns="http://schemas.openxmlformats.org/officeDocument/2006/custom-properties" xmlns:vt="http://schemas.openxmlformats.org/officeDocument/2006/docPropsVTypes"/>
</file>