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prof. nzw. dr hab. inż. Paweł Pyrzanowski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NW125</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wykłady  - 15 godz.
b)	ćwiczenia   – 15 godz.
c)	konsultacje – 10 godz.
2.	Praca własna studenta – 40 godzin, w tym:
a)	10 godz. – przygotowywanie się do sprawdzianów,
b)	10 godz. – realizacja prac domowych
c)	10 godz. przygotowywanie się do ćwiczeń (analiza literatury).
d)	10 godz. –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MiBM1_W06, MiBM1_W09</w:t>
      </w:r>
    </w:p>
    <w:p>
      <w:pPr>
        <w:spacing w:before="20" w:after="190"/>
      </w:pPr>
      <w:r>
        <w:rPr>
          <w:b/>
          <w:bCs/>
        </w:rPr>
        <w:t xml:space="preserve">Powiązane efekty obszarowe: </w:t>
      </w:r>
      <w:r>
        <w:rPr/>
        <w:t xml:space="preserve">T1A_W03, T1A_W04, T1A_W06, T1A_W07, T1A_W03, T1A_W06, T1A_W07</w:t>
      </w:r>
    </w:p>
    <w:p>
      <w:pPr>
        <w:pStyle w:val="Heading3"/>
      </w:pPr>
      <w:bookmarkStart w:id="3" w:name="_Toc3"/>
      <w:r>
        <w:t>Profil ogólnoakademicki - umiejętności</w:t>
      </w:r>
      <w:bookmarkEnd w:id="3"/>
    </w:p>
    <w:p>
      <w:pPr>
        <w:keepNext w:val="1"/>
        <w:spacing w:after="10"/>
      </w:pPr>
      <w:r>
        <w:rPr>
          <w:b/>
          <w:bCs/>
        </w:rPr>
        <w:t xml:space="preserve">Efekt 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MiBM1_U05, MiBM1_U09, MiBM1_U10, MiBM1_U11</w:t>
      </w:r>
    </w:p>
    <w:p>
      <w:pPr>
        <w:spacing w:before="20" w:after="190"/>
      </w:pPr>
      <w:r>
        <w:rPr>
          <w:b/>
          <w:bCs/>
        </w:rPr>
        <w:t xml:space="preserve">Powiązane efekty obszarowe: </w:t>
      </w:r>
      <w:r>
        <w:rPr/>
        <w:t xml:space="preserve">T1A_U05, T1A_U09, T1A_U10, T1A_U14, T1A_U10, T1A_U10, T1A_U14</w:t>
      </w:r>
    </w:p>
    <w:p>
      <w:pPr>
        <w:keepNext w:val="1"/>
        <w:spacing w:after="10"/>
      </w:pPr>
      <w:r>
        <w:rPr>
          <w:b/>
          <w:bCs/>
        </w:rPr>
        <w:t xml:space="preserve">Efekt 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MiBM1_U10, MiBM1_U11</w:t>
      </w:r>
    </w:p>
    <w:p>
      <w:pPr>
        <w:spacing w:before="20" w:after="190"/>
      </w:pPr>
      <w:r>
        <w:rPr>
          <w:b/>
          <w:bCs/>
        </w:rPr>
        <w:t xml:space="preserve">Powiązane efekty obszarowe: </w:t>
      </w:r>
      <w:r>
        <w:rPr/>
        <w:t xml:space="preserve">T1A_U10, T1A_U10, T1A_U14</w:t>
      </w:r>
    </w:p>
    <w:p>
      <w:pPr>
        <w:keepNext w:val="1"/>
        <w:spacing w:after="10"/>
      </w:pPr>
      <w:r>
        <w:rPr>
          <w:b/>
          <w:bCs/>
        </w:rPr>
        <w:t xml:space="preserve">Efekt 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MiBM1_U09, MiBM1_U10, MiBM1_U11</w:t>
      </w:r>
    </w:p>
    <w:p>
      <w:pPr>
        <w:spacing w:before="20" w:after="190"/>
      </w:pPr>
      <w:r>
        <w:rPr>
          <w:b/>
          <w:bCs/>
        </w:rPr>
        <w:t xml:space="preserve">Powiązane efekty obszarowe: </w:t>
      </w:r>
      <w:r>
        <w:rPr/>
        <w:t xml:space="preserve">T1A_U09, T1A_U10, T1A_U14, T1A_U10, T1A_U10, T1A_U14</w:t>
      </w:r>
    </w:p>
    <w:p>
      <w:pPr>
        <w:keepNext w:val="1"/>
        <w:spacing w:after="10"/>
      </w:pPr>
      <w:r>
        <w:rPr>
          <w:b/>
          <w:bCs/>
        </w:rPr>
        <w:t xml:space="preserve">Efekt 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MiBM1_U09, MiBM1_U14</w:t>
      </w:r>
    </w:p>
    <w:p>
      <w:pPr>
        <w:spacing w:before="20" w:after="190"/>
      </w:pPr>
      <w:r>
        <w:rPr>
          <w:b/>
          <w:bCs/>
        </w:rPr>
        <w:t xml:space="preserve">Powiązane efekty obszarowe: </w:t>
      </w:r>
      <w:r>
        <w:rPr/>
        <w:t xml:space="preserve">T1A_U09, T1A_U10, T1A_U14, T1A_U14, T1A_U15</w:t>
      </w:r>
    </w:p>
    <w:p>
      <w:pPr>
        <w:keepNext w:val="1"/>
        <w:spacing w:after="10"/>
      </w:pPr>
      <w:r>
        <w:rPr>
          <w:b/>
          <w:bCs/>
        </w:rPr>
        <w:t xml:space="preserve">Efekt 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MiBM1_U09, MiBM1_U10, MiBM1_U11, MiBM1_U14, MiBM1_U15</w:t>
      </w:r>
    </w:p>
    <w:p>
      <w:pPr>
        <w:spacing w:before="20" w:after="190"/>
      </w:pPr>
      <w:r>
        <w:rPr>
          <w:b/>
          <w:bCs/>
        </w:rPr>
        <w:t xml:space="preserve">Powiązane efekty obszarowe: </w:t>
      </w:r>
      <w:r>
        <w:rPr/>
        <w:t xml:space="preserve">T1A_U09, T1A_U10, T1A_U14, T1A_U10, T1A_U10, T1A_U14, T1A_U14, T1A_U15, T1A_U09, T1A_U14, T1A_U15</w:t>
      </w:r>
    </w:p>
    <w:p>
      <w:pPr>
        <w:keepNext w:val="1"/>
        <w:spacing w:after="10"/>
      </w:pPr>
      <w:r>
        <w:rPr>
          <w:b/>
          <w:bCs/>
        </w:rPr>
        <w:t xml:space="preserve">Efekt NW125_U6: </w:t>
      </w:r>
    </w:p>
    <w:p>
      <w:pPr/>
      <w:r>
        <w:rPr/>
        <w:t xml:space="preserve">							Potrafi podejmować decyzje dotyczące cech rozważanego zespołu, biorąc pod uwagę zarówno wyniki obliczeń inżynierskich jak i ograniczenia nieopisane matematycznie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MiBM1_U10, MiBM1_U11, MiBM1_U15, MiBM1_U17</w:t>
      </w:r>
    </w:p>
    <w:p>
      <w:pPr>
        <w:spacing w:before="20" w:after="190"/>
      </w:pPr>
      <w:r>
        <w:rPr>
          <w:b/>
          <w:bCs/>
        </w:rPr>
        <w:t xml:space="preserve">Powiązane efekty obszarowe: </w:t>
      </w:r>
      <w:r>
        <w:rPr/>
        <w:t xml:space="preserve">T1A_U10, T1A_U10, T1A_U14, T1A_U09, T1A_U14, T1A_U15, T1A_U10, T1A_U13</w:t>
      </w:r>
    </w:p>
    <w:p>
      <w:pPr>
        <w:keepNext w:val="1"/>
        <w:spacing w:after="10"/>
      </w:pPr>
      <w:r>
        <w:rPr>
          <w:b/>
          <w:bCs/>
        </w:rPr>
        <w:t xml:space="preserve">Efekt 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MiBM1_U01, MiBM1_U09, MiBM1_U12, MiBM1_U16</w:t>
      </w:r>
    </w:p>
    <w:p>
      <w:pPr>
        <w:spacing w:before="20" w:after="190"/>
      </w:pPr>
      <w:r>
        <w:rPr>
          <w:b/>
          <w:bCs/>
        </w:rPr>
        <w:t xml:space="preserve">Powiązane efekty obszarowe: </w:t>
      </w:r>
      <w:r>
        <w:rPr/>
        <w:t xml:space="preserve">T1A_U01, T1A_U06, T1A_U09, T1A_U10, T1A_U14, T1A_U10, T1A_U14, T1A_U16, T1A_U15, T1A_U16</w:t>
      </w:r>
    </w:p>
    <w:p>
      <w:pPr>
        <w:keepNext w:val="1"/>
        <w:spacing w:after="10"/>
      </w:pPr>
      <w:r>
        <w:rPr>
          <w:b/>
          <w:bCs/>
        </w:rPr>
        <w:t xml:space="preserve">Efekt NW125_U8: </w:t>
      </w:r>
    </w:p>
    <w:p>
      <w:pPr/>
      <w:r>
        <w:rPr/>
        <w:t xml:space="preserve">							Potrafi stosować w praktyce zalecenia norm dotyczące cech geometrycznych typowych elementów oraz ich właściwości fizycznych, w tym –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MiBM1_U01, MiBM1_U10</w:t>
      </w:r>
    </w:p>
    <w:p>
      <w:pPr>
        <w:spacing w:before="20" w:after="190"/>
      </w:pPr>
      <w:r>
        <w:rPr>
          <w:b/>
          <w:bCs/>
        </w:rPr>
        <w:t xml:space="preserve">Powiązane efekty obszarowe: </w:t>
      </w:r>
      <w:r>
        <w:rPr/>
        <w:t xml:space="preserve">T1A_U01, T1A_U06, T1A_U10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2024-05-19T09:37:38+02:00</dcterms:created>
  <dcterms:modified xsi:type="dcterms:W3CDTF">2024-05-19T09:37:38+02:00</dcterms:modified>
</cp:coreProperties>
</file>

<file path=docProps/custom.xml><?xml version="1.0" encoding="utf-8"?>
<Properties xmlns="http://schemas.openxmlformats.org/officeDocument/2006/custom-properties" xmlns:vt="http://schemas.openxmlformats.org/officeDocument/2006/docPropsVTypes"/>
</file>