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.Razem: 27 godzin, w tym:
1) Liczba godzin kontaktowych - 17, w tym:
a) udział w ćwiczeniach laboratoryjnych - 15 godz.
b) konsultacje - 2 godz.
2) Praca własna studenta - 10 godz, w tym
a) przygotowywanie się studenta do laboratorium - 5 godz
b) przeliczanie wyników pomiarów i opracowywanie sprawozdań - 5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.0.7 ECTS - Liczba godzin kontaktowych - 17, w tym:
a) udział w ćwiczeniach laboratoryjnych - 15 godz.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.1 punkt ECTS - 25 godz., w tym
1) ćwiczenia laboratoryjne - 15 godz,
2) przygotowywanie się do laboratorium - 5 godz,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Testy i sprawozdania z każdych zajęć, oraz kolokwium poprawkowe na koniec semestru. Praca własna: zajęcia laboratoryjne podczas których studenci powinni przeprowadzić pomiar a następnie wykonać wymagane obliczenia.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
2. J. Bukowski: Mechanika płynów, PWN, Warszawa, 1976
3. J. Bukowski, P. Kijkowski: Kurs mechaniki płynów. PWN, Warszawa, 1980. 
4. Instrukcje do ćwiczeń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NK340_W1: </w:t>
      </w:r>
    </w:p>
    <w:p>
      <w:pPr/>
      <w:r>
        <w:rPr/>
        <w:t xml:space="preserve">							EW1. Zna ogólne zasady wzorcowania przyrządów pomiarowych i obliczania błędów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NK340_W2: </w:t>
      </w:r>
    </w:p>
    <w:p>
      <w:pPr/>
      <w:r>
        <w:rPr/>
        <w:t xml:space="preserve">EW2. 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NK340_W3: </w:t>
      </w:r>
    </w:p>
    <w:p>
      <w:pPr/>
      <w:r>
        <w:rPr/>
        <w:t xml:space="preserve">EW3. Rozumie przyczyny powstawania strat w przepływie oraz definicje współczynników strat liniowych 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NK340_W4: </w:t>
      </w:r>
    </w:p>
    <w:p>
      <w:pPr/>
      <w:r>
        <w:rPr/>
        <w:t xml:space="preserve">EW4. Zna różne metody wizualizacji przepływów w zakresie pod- i naddźwiękowym. Rozróżnia metody wizualizacji powierzchniowej i objętościowej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NK340_W5: </w:t>
      </w:r>
    </w:p>
    <w:p>
      <w:pPr/>
      <w:r>
        <w:rPr/>
        <w:t xml:space="preserve">EW5. Zna podstawowe metody wyznaczania całkowitego oporu aerodynamicznego na drodze pomiarów wagowych oraz oporu ciśnieniowego poprzez pomiar ciśnień na powierzchni ciała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2024-05-19T02:07:02+02:00</dcterms:created>
  <dcterms:modified xsi:type="dcterms:W3CDTF">2024-05-19T02:07:02+02:00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