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Kędzior, 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tym:&lt;br&gt; w tym: &lt;br&gt;a) 18 godz. – wykład, &lt;br&gt;b) 5 godz. – konsultacje &lt;br&gt;&lt;br&gt;2. Praca własna studenta – 52 godziny, w tym: &lt;br&gt;a) 32 godz. – przygotowanie się studenta do zajęć w trakcie semestru, &lt;br&gt;b) 20 godz. – przygotowanie do sprawdzianu semestralnego&lt;br&gt;&lt;br&gt;Razem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liczba godzin kontaktowych: 23, w tym: &lt;br&gt;a) wykład – 18 godz., &lt;br&gt;b)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prerekwizyty: Mechanika I (ZNW108), Mechanika II (ZNW115)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układów&lt;br&gt;
Po zaliczeniu przedmiotu student będzie umiał:
&lt;br&gt;- obliczać siły rozwijane przez mięśnie i siły reakcji w stawach wywołane obciążeniem zewnętrznym ciała człowieka pojawiającym się podczas codziennych czynności, pracy fizycznej, uprawiania sportu, wypadku drogowego, 
&lt;br&gt;- rozpatrywać sytuację człowieka-operatora, szczególnie w aspekcie projektowania nowych lub oceny istniejących stanowisk pracy, &lt;br&gt;- stosować nowoczesne metody (aparatura, oprogramowanie) do pomiaru biomechanicznych parametrów ruchu ciała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&lt;b&gt;Wykład:&lt;/b&gt;&lt;br&gt;
- Zarys historii biomechaniki. &lt;br&gt;
- Analiza biomechaniczna układu ruchu człowieka (ujęcie systemowe). &lt;br&gt;
- Budowa, działanie, źródła energetyczne, praca, moc i sprawność mięśni szkieletowych. &lt;br&gt;
- Sterowanie mięśniami szkieletowymi. &lt;br&gt;
- Biomechanika tkanki kostnej; adaptacja funkcjonalna kości. &lt;br&gt;
- Elektromiografia (emg). &lt;br&gt;
- Współdziałanie mięśni. &lt;br&gt;
- Modelowanie i symulacja komputerowa układu ruchu człowieka dla potrzeb ergonomii, medycyny i sportu. &lt;br&gt;
- Podstawowe problemy biomechaniki pracy, projektowanie i ergonomia, ocena stanowisk pracy, biomechanika zderzeń, ocena i symulacja skutków wypadków drogowych. &lt;br&gt;
- Zastosowanie zasad modelowania matematycznego, optymalizacji i teorii sterowania do badania złożonych układów biologicznych, szczególnie w aspekcie wykorzystania wynikających z nich inspiracji do budowy robotów i manipulatorów. &lt;br&gt;
- Miernictwo biomechanicznych parametrów ruchu człowieka (siły, przemieszczenia, emg) za pomocą specjalistycznej aparatury.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Kędzior K.: Wybrane zagadnienia biomechaniki ruchu człowieka. W: A. Morecki, J. Knapczyk, K. Kędzior, Teoria Mechanizmów i Manipulatorów, WNT, Warszawa 2002, 501-587.&lt;br&gt;
2. Będziński R., Kędzior K., Kiwerski J., Morecki A., Skalski K, Wall A., Wit A. (red.): Biomechanika i Inżynieria Rehabilitacyjna. W: M. Nałęcz, Biocybernetyka i Inżynieria Biomedyczna 2000, t.5, Akademicka Oficyna Wydawnicza EXIT, Warszawa 2004.&lt;br&gt; 
3. Kędzior K., Roman-Liu D.: Wybrane Zagadnienia Biomechaniki Pracy. W: Koradecka D. (red.), Bezpieczeństwo Pracy i Ergonomia, Centralny Instytut Ochrony Pracy, Warszawa 1997, 1.1, 119-147.&lt;br&gt;
4. Gedliczka A.: Atlas Miar Człowieka – Dane do projektowania i oceny ergonomicznej. Centralny Instytut Ochrony Pracy, Warszawa 2001.&lt;br&gt; 
5. Koradecka D. (red.): Nauka o pracy – bezpieczeństwo, higiena, ergonomia, t.3 – Czynniki antropometryczne i biomechaniczne. Centralny Instytut Ochrony Pracy, Warszawa 2000.&lt;br&gt;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ZNK305_W1: </w:t>
      </w:r>
    </w:p>
    <w:p>
      <w:pPr/>
      <w:r>
        <w:rPr/>
        <w:t xml:space="preserve">							Student ma podstawową wiedzę z zakresu historii biomechaniki na tle historii rozwoju nauki, ze szczególnym uwzględnieniem jej interdyscyplinarnego charakteru i wspólczesnego znaczenia w naukach technicznych.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ZNK305_W2: </w:t>
      </w:r>
    </w:p>
    <w:p>
      <w:pPr/>
      <w:r>
        <w:rPr/>
        <w:t xml:space="preserve">							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ZNK305_W3: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ZNK305_W4: </w:t>
      </w:r>
    </w:p>
    <w:p>
      <w:pPr/>
      <w:r>
        <w:rPr/>
        <w:t xml:space="preserve">Student ma wiedzę w zakresie zasad rejestracji, przetwarzania i interpretacji sygnałów biologicznych w dziedzinach czasu i częstotliwości.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ZNK305_W5: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M1_W10, 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ZNK305_U1: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ZNK305_U2: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M1_U15, 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T1A_U09, T1A_U14, T1A_U15, T1A_U11</w:t>
      </w:r>
    </w:p>
    <w:p>
      <w:pPr>
        <w:keepNext w:val="1"/>
        <w:spacing w:after="10"/>
      </w:pPr>
      <w:r>
        <w:rPr>
          <w:b/>
          <w:bCs/>
        </w:rPr>
        <w:t xml:space="preserve">Efekt ZNK305_U4: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ZNK305_K1: </w:t>
      </w:r>
    </w:p>
    <w:p>
      <w:pPr/>
      <w:r>
        <w:rPr/>
        <w:t xml:space="preserve">Student rozumie i odczuwa potrzebę krzewienia w społeczeństwie zasad zdrowego trybu życia,  BHP i bezpieczeństwa w ruchu drogowym.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2026-04-18T18:33:53+02:00</dcterms:created>
  <dcterms:modified xsi:type="dcterms:W3CDTF">2026-04-18T18:33:53+02:00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