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godzin;
b) uczestniczenie w ćwiczeniach - 15 godzin;
c) uczestniczenie w konsultacjach - 10 godzin 
2) praca własna studenta 20 godzin, obejmuje:
przygotowanie się do dwóch  sprawdzianów (rozwiązywanie zadań) w trakcie semestru i egzaminu końcowego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godzin;
b) prowadzenie przez nauczyciela  ćwiczeń - 15 godzin;
c) prowadzenie  w konsultacji - 10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NK357_W1: </w:t>
      </w:r>
    </w:p>
    <w:p>
      <w:pPr/>
      <w:r>
        <w:rPr/>
        <w:t xml:space="preserve">							Zna metody ilościowej oceny strat energetycznych w maszynach cieplnych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NK357_W2: </w:t>
      </w:r>
    </w:p>
    <w:p>
      <w:pPr/>
      <w:r>
        <w:rPr/>
        <w:t xml:space="preserve">							Zna podstawy fizyki dyfuzyjnej i konwekcyjnej wymiany masy i jej matematycznego modelowania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NK357_U2: </w:t>
      </w:r>
    </w:p>
    <w:p>
      <w:pPr/>
      <w:r>
        <w:rPr/>
        <w:t xml:space="preserve">														Potrafi dokonać oceny ilościowej zasobów użytecznej energii oraz wielkości strat energetycznych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2025-12-26T12:48:31+01:00</dcterms:created>
  <dcterms:modified xsi:type="dcterms:W3CDTF">2025-12-26T12:48:31+01:00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