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NK481A</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i ćwiczenia  - 45 godzin
konsultacje 4-5 godzin
Przygotowanie bieżące do ćwiczeń - 15 godzin.
Przygotowanie do dwóch sprawdzianów - 30 godzin
Łącznie ok.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NW102 - Analiza 1 (ANA1)
NW102P - Analiza 1 (ANA1)
ZNW102 - Analiza 1 (ANA1)
NW90 - Analiza 2 (ANA2)
ZNW111 - Analiza 2 (ANA2)
NW91 - Analiza 3 (ANA3)
NW91P - Analiza 3 (ANA3)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"skrócone treści".</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NK481A_W4: </w:t>
      </w:r>
    </w:p>
    <w:p>
      <w:pPr/>
      <w:r>
        <w:rPr/>
        <w:t xml:space="preserve">Zna metodę separacji zmiennych Fouriera.							</w:t>
      </w:r>
    </w:p>
    <w:p>
      <w:pPr>
        <w:spacing w:before="60"/>
      </w:pPr>
      <w:r>
        <w:rPr/>
        <w:t xml:space="preserve">Weryfikacja: </w:t>
      </w:r>
    </w:p>
    <w:p>
      <w:pPr>
        <w:spacing w:before="20" w:after="190"/>
      </w:pPr>
      <w:r>
        <w:rPr/>
        <w:t xml:space="preserve">kolokwium i egzamim</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2024-05-18T07:08:36+02:00</dcterms:created>
  <dcterms:modified xsi:type="dcterms:W3CDTF">2024-05-18T07:08:36+02:00</dcterms:modified>
</cp:coreProperties>
</file>

<file path=docProps/custom.xml><?xml version="1.0" encoding="utf-8"?>
<Properties xmlns="http://schemas.openxmlformats.org/officeDocument/2006/custom-properties" xmlns:vt="http://schemas.openxmlformats.org/officeDocument/2006/docPropsVTypes"/>
</file>