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- 25, przygotowanie do egzaminu - 35, razem - 105; Ćwiczenia: liczba godzin według planu studiów - 45, przygotowanie do zajęć - 25, zapoznanie ze wskazaną literaturą - 20, przygotowanie do kolokwium - 30, razem - 120;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- 45 h; Razem - 90 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10-30</w:t>
      </w:r>
    </w:p>
    <w:p>
      <w:pPr>
        <w:keepNext w:val="1"/>
        <w:spacing w:after="10"/>
      </w:pPr>
      <w:r>
        <w:rPr>
          <w:b/>
          <w:bCs/>
        </w:rPr>
        <w:t xml:space="preserve">Cel przedmiotu: </w:t>
      </w:r>
    </w:p>
    <w:p>
      <w:pPr>
        <w:spacing w:before="20" w:after="190"/>
      </w:pPr>
      <w:r>
        <w:rPr/>
        <w:t xml:space="preserve">Celem nauczania przedmiotu nabycie przez studentów wiedzy, umiejętności i kompetencji społecznych z zakresu nazewnictwa,metod otrzymywania i reaktywności poszczególnych grup związków organicznych oraz zasadami rządzącymi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Chemia organiczna jako dziedzina wiedzy. Elektroujemność, polarność, polaryzowalność. Teorie kwasów i zasad. W2: Nomenklatura związków organicznych. Typy reakcji chemicznych. Izomeria konstytucyjna. W3: Alkany- struktura i reaktywność. Mechanizm substytucji wolnorodnikowej. W4: Alkeny - właściwości i reaktywność. Mechanizm eliminacji jako metoda syntezy alkenów. Izomeria. Właściwości karbokationu. Mechanizm addycji elektrofilowej. Reguła Markownikowa. Substytucja wolnorodnikowa w pozycji allilowej. Ozonoliza i utlenianie. Polimeryzacja. W5: Alkiny - otrzymywanie alkinów. Reakcje addycji elektrofilowej. Reakcja Kuczerowa. Tautomeria. W6: Dieny. Dieny sprzężone. Mechanizm addycji elektrofilowej 1,4. Polimeryzacja dienów. W7: Węglowodory aromatyczne. Struktura benzenu. Mechanizm substytucji elektrofilowej. Kierujący wpływ podstawników. Katalizatory Friedla- Craftsa. Węglowodory alkiloaromatyczne i wielopierścieniowe. W8: Podstawy stereochemii. W9: Halogenki alkilowe - nazewnictwo, struktura. Otrzymywanie. Mechanizm reakcji substytucji nukleofilowej. W10: Alkohole. Nazewnictwo i właściwości. Otrzymywanie i rekatywność alkoholi. Diole. W11: Fenole. Otrzymywanie metodami przemysłowymi i laboratoryjnymi. Właściwości kwasowe. Reaktywność fenoli. W12: Etery. Otrzymywanie metodą przemysłową i metodą Williamsona. Rozszczepienie eterów. W13: Związki karbonylowe. Właściwości grupy karbonylowej. Otrzymywanie aldehydów i ketonów. Reakcje utleniania i redukcji aldehydów i ketonów. Reakcje addycji nukleofinowej. Reakcja Cannizzaro. Reakcje kondensacji. W14: Kwasy karboksylowe. Nazewnictwo i struktura. Właściwości kwasowe. Charakterystyczne reakcje. Kwasy dikarboksylowe. W15: Pochodne kwasowe. Nomenklatura, otrzymywanie i reaktywnośc. Tłuszcze i mydła. W16: Aminy. Nazewnictwo i otrzymywanie. Charakterystyczne reakcje. Diazowanie amin aromatycznych. Sprzęganie soli diazoniowych. 
C1: Nomenklatura związkóworganicznych. C2: Alkany - nomenklatura, otrzymywanie, reaktywność. C3: Alkeny - nomanklatura,otrzymywanie, reaktywność, izomeria. Dieny - nomanklatura, raktywność. C4: Alkiny - nomenklatura, otrzymywanie, reaktywność, tautomeria. C5: Węlowodory aromatyczne -nomanklatura, otrzymywanie, reaktywność. Kierujący wpływ podstawnika. C6: Halogenki alkilowe - nomanklatura, orzymywanie, reaktywność. C7: Alkohole - nomanklatura, orzymywanie, reaktywność. Diole. C8: Fenole - nomanklatura, orzymywanie, reaktywność. C9: Etery: - nomanklatura, orzymywanie, rozszczepianie eterów. C10: Aldehydy  - nomanklatura, orzymywanie, reaktywność. C11: Ketony - nomanklatura, orzymywanie, reaktywność. Reakcja Cannizzaro i reakcje kondensacji. C12: Kwasy karboksylowe - nomanklatura systematyczna i zwyczajowa, orzymywanie, reaktywność. C13: Pochodne kwasowe: - nomanklatura, orzymywanie, reaktywność. C14: Aminy: - nomanklatura, orzymywanie, reaktywność. C15: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czterech sprawdzianów z ćwiczeń audytoryjnych. Warunkiem przystąpienia do egzaminu jest zaliczenie ćwiczeń audytoryjnych. Łączna suma punktów z obydwu zaliczeń wynosi 200 (100+100). 
Warunkiem zaliczenia egzaminu jest uzyskanie przynajmniej 55 z 100 możliwych punktów. Warunkiem zaliczenia ćwiczeń audytoryjnych jest uzyskanie łącznie przynajmniej 55 z 100 możliwych punktów uzyskanych w wyniku sprawdzianów przeprowadzonych w trakcie semestru. Ocena łączna (zintegrowana) jest ustalana na podstawie sumy punktów uzyskanych w obydwu rodzajach zajęć, w następujący sposób:
110 - 140 pkt   - 3,0
141 - 160 pkt.  - 3,5
161 – 180  pkt. – 4,0
181 – 190 pkt. – 4,5
&gt; 190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2026-02-28T18:53:35+01:00</dcterms:created>
  <dcterms:modified xsi:type="dcterms:W3CDTF">2026-02-28T18:53:35+01:00</dcterms:modified>
</cp:coreProperties>
</file>

<file path=docProps/custom.xml><?xml version="1.0" encoding="utf-8"?>
<Properties xmlns="http://schemas.openxmlformats.org/officeDocument/2006/custom-properties" xmlns:vt="http://schemas.openxmlformats.org/officeDocument/2006/docPropsVTypes"/>
</file>