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375, w tym:
1. Liczba godzin wymagających bezpośredniego kontaktu z opiekunem: 150
a) spotkania i konsultacje - 149 godz. 
b) zaliczenie przedmiotu - 1 godz. 
2. Liczba godzin pracy własnej: 225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- 150 godz. w tym:
a) spotkania i konsultacje - 149 godz. 
b) zaliczenie przedmiotu - 1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rozwiązania postawionego zadania inżynierskiego, - doboru literatury, - wyboru metod rozwiązania, - przedstawienia i krytycznej analizy wyników. Dokładna specyfikacja zależna jest od tematyki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konkretnego tematu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NW136_W1: </w:t>
      </w:r>
    </w:p>
    <w:p>
      <w:pPr/>
      <w:r>
        <w:rPr/>
        <w:t xml:space="preserve">Posiada rozległą wiedzę na wybrany temat w ramach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E1_W18, E1_W20, E1_W24, E1_W25, E1_W26, E1_W28,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T1A_W07, T1A_W04, T1A_W05, T1A_W05, T1A_W05, T1A_W04,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NW136_U1: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</w:t>
      </w:r>
    </w:p>
    <w:p>
      <w:pPr>
        <w:keepNext w:val="1"/>
        <w:spacing w:after="10"/>
      </w:pPr>
      <w:r>
        <w:rPr>
          <w:b/>
          <w:bCs/>
        </w:rPr>
        <w:t xml:space="preserve">Efekt NW136_U2: </w:t>
      </w:r>
    </w:p>
    <w:p>
      <w:pPr/>
      <w:r>
        <w:rPr/>
        <w:t xml:space="preserve">Potrafi skorzystać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NW136_U3: </w:t>
      </w:r>
    </w:p>
    <w:p>
      <w:pPr/>
      <w:r>
        <w:rPr/>
        <w:t xml:space="preserve">Potrafi samodzielnie rozwiązać proste zadanie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T1A_U11</w:t>
      </w:r>
    </w:p>
    <w:p>
      <w:pPr>
        <w:keepNext w:val="1"/>
        <w:spacing w:after="10"/>
      </w:pPr>
      <w:r>
        <w:rPr>
          <w:b/>
          <w:bCs/>
        </w:rPr>
        <w:t xml:space="preserve">Efekt NW136_U4: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NW136_U5: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E1_U03, E1_U04, E1_U08,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T1A_U07,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NW136_K1: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NW136_K2: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NW136_K3: </w:t>
      </w:r>
    </w:p>
    <w:p>
      <w:pPr/>
      <w:r>
        <w:rPr/>
        <w:t xml:space="preserve">Prawidłowo identyfikuje i rozstrzyga dylematy związane z wykonywaniem zawodu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NW136_K4: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2026-08-02T21:17:38+02:00</dcterms:created>
  <dcterms:modified xsi:type="dcterms:W3CDTF">2026-08-02T21:17:38+02:00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