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- 15 godz.
2) Praca własna studenta - 20 godz., w tym:
a) bieżące przygotowywanie się do zajęć, studia literaturowe - 15 godz.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
b) udział w ćwiczeniach - 15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NS576A_W1: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NS576A_W2: </w:t>
      </w:r>
    </w:p>
    <w:p>
      <w:pPr/>
      <w:r>
        <w:rPr/>
        <w:t xml:space="preserve">Zna wyniki takich analiz w zakresie wpływu głównych parametrów na osiągi turbiny gazowej i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NS576A_W3: </w:t>
      </w:r>
    </w:p>
    <w:p>
      <w:pPr/>
      <w:r>
        <w:rPr/>
        <w:t xml:space="preserve">Zna charakterystyki zespołów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NS576A_U1: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2026-07-10T23:19:59+02:00</dcterms:created>
  <dcterms:modified xsi:type="dcterms:W3CDTF">2026-07-10T23:19:59+02:00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