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
b) konsultacje - 2 godz.
2)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 , w tym: 
a) udział w ćwiczeniach laboratoryjnych - 30 godz.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NS727_W1: </w:t>
      </w:r>
    </w:p>
    <w:p>
      <w:pPr/>
      <w:r>
        <w:rPr/>
        <w:t xml:space="preserve">zna podstawowe zagadnienia obiegów cieplnych i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NS727_W2: </w:t>
      </w:r>
    </w:p>
    <w:p>
      <w:pPr/>
      <w:r>
        <w:rPr/>
        <w:t xml:space="preserve">zna zagadnienia eksploatacji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NS727_U1: </w:t>
      </w:r>
    </w:p>
    <w:p>
      <w:pPr/>
      <w:r>
        <w:rPr/>
        <w:t xml:space="preserve">potrafi wyznaczyć parametry techniczne urządzeń na podstawie badan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NS727_U2: </w:t>
      </w:r>
    </w:p>
    <w:p>
      <w:pPr/>
      <w:r>
        <w:rPr/>
        <w:t xml:space="preserve">potrafi prowadzić obsługę maszyn i urządzeń zgodnie z normami i instrukcjami obsługi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NS727_K1: </w:t>
      </w:r>
    </w:p>
    <w:p>
      <w:pPr/>
      <w:r>
        <w:rPr/>
        <w:t xml:space="preserve">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2026-09-13T11:39:14+02:00</dcterms:created>
  <dcterms:modified xsi:type="dcterms:W3CDTF">2026-09-13T11:39:14+02:00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