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komunikacyjne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Dariusz Godlewski/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BN1A_31/01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Projekt 10h;
Zapoznanie się ze wskazaną literaturą 20h;
Opracowanie wyników  20h;
Przygotowanie do zaliczenia 10h;
Wykonanie projektu 20h;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Projekty - 10h;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Opracowanie wyników  20h;
Wykonanie projektu 20h;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gruntów i fundamentowanie, rysunek techniczny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zna podstawowe definicje dotyczące budownictwa komunikacyjnego. Potrafi identyfikować problemy projektowania dróg, konstruowania nawierzchni drogowej i jej eksploatacji. Potrafi rozwiązać prosty problem techniczny z tym związany.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Charakterystyka transportu lądowego. Klasyfikacja funkcjonalno techniczna dróg kołowych ; W2- Przekrój poprzeczny drogi… W3 - Plan sytuacyjny; W4 - Przekrój podłużny ; W5 - Skrzyżowania ; W6 - Odwodnienie i elementy uspokojenia ruchu; W7 - Drogi szybkiego ruchu; W8- Podstawy inżynierii ruchu; W9 - Komunikacja zbiorowa, przystanki, parkingi; W10 - Elementy dróg kolejowych; W15 – Zaliczenie; W11 - Nawierzchnie drogowe : definicje elementy; W12 - Mechanizmy niszczenia nawierzchnia; W13 – W14 - Wymiarowanie nowych nawierzchni drogowych ; W15 - W16 - Diagnostyka nawierzchni; W17 - Wymiarowanie wzmocnienia nawierzchni drogowej ; W18 - Katalog wzmocnienia nawierzchni podatnych ; W19 - System Oceny stanu nawierzchni; W20 – Zaliczenie.
P1 - P10 – wykonanie projektu odcinka ulicy ;  P1 - P10 – ocena uszkodzeń odcinka nawierzchni oraz dobór konstrukcji nawierzchni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w postaci pisemnej na zakończenie każdego semestru. Wykonanie projektów. Semestralna ocena łączna z wykładów i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System Oceny Stanu Nawierzchni. Wytyczne stosowania. Zarządzenie nr 9 Generalnego Dyrektora Dróg Publicznych z dnia 4 marca 2002. 
2. Dariusz Godlewski, Nawierzchnie drogowe, WPW 2011.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http://www.gddkia.gov.pl/article/systemy_diagnostyki_sieci_drogowej/system_oceny_stanu_nawierzchni//index.php?id_item_tree=ac577a5cac865affcd848714ee14ce85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dotyczącą sposobu wyliczania elementów projektów drogowych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wiedzę o cyklu życia nawierzchni drogowej i jej trwałości oraz o sposobach wzmacniania konstrukcji nawierzchni drogowych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pisemne(W1-W20)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Ma podstawy diagnostyki drogowej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pisemne(W1-W20)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Zna zasady kształtowania sieci drogowej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pisemne(W1-W20)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W08_05: </w:t>
      </w:r>
    </w:p>
    <w:p>
      <w:pPr/>
      <w:r>
        <w:rPr/>
        <w:t xml:space="preserve">ma wiedzę o standardach w budownictwie drogowym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sposoby dostosowania słabego podłoża do wymagań nawierzchni drogowych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Zna podstawowe ustawy i rozporządzenia dotyczące budownictwa drogowego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wykonać projekt w środowisku CAD  oraz przetwarzać dane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2024-05-19T17:05:26+02:00</dcterms:created>
  <dcterms:modified xsi:type="dcterms:W3CDTF">2024-05-19T17:05:26+02:00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