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prof. dr hab. inż. Jerzy Bałdyga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kontaktowe 30 godzin, w tym obecność na wykładach - 30 godzin, Przygotowanie do egzaminu i zdawanie egzaminu - 50 godz.
Razem nakład pracy studenta 80 godz. = 2</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- 30 godzin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Przygotowanie do egzaminu i zdawanie egzaminu - 50 godzin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(rachunek wektorowy i tensorowy, cząstkowe równania różniczkowe, Transformaty Fouriera), Hydraulika i  Kinetyka Procesowa.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analizy przepływów laminarnych i burzliwych oraz obliczenia przepływów. Umiejętność transformacji równania Naviera-Stokesa. Umiejętność badania stabilności przepływów.  Zrozumienie podstaw obliczeniowej mechaniki płynów (CFD). Analiza widmowa przepływów burzliwych. Umiejętność wykorzystania z mechaniki płynów do opisu procesów inżynierii chemicznej i procesowej.</w:t>
      </w:r>
    </w:p>
    <w:p>
      <w:pPr>
        <w:keepNext w:val="1"/>
        <w:spacing w:after="10"/>
      </w:pPr>
      <w:r>
        <w:rPr>
          <w:b/>
          <w:bCs/>
        </w:rPr>
        <w:t xml:space="preserve">Treści kształcenia: </w:t>
      </w:r>
    </w:p>
    <w:p>
      <w:pPr>
        <w:spacing w:before="20" w:after="190"/>
      </w:pPr>
      <w:r>
        <w:rPr/>
        <w:t xml:space="preserve">Przepływy laminarne: płyny newtonowskie i  równanie Naviera - Stokesa, rozwiązania analityczne i numeryczne równania Naviera - Stokesa, przepływy pełzające, laminarne warstwy graniczne, niestabilności przepływów lepkich. Przepływy burzliwe: skale ruchu burzliwego, modele statystyczne burzliwości, burzliwość swobodnai ograniczona ścianami,  modelowanie I symulacja przepływów burzliwych z wykorzystaniem: modeli półempirycznych, statystyczych (narężeń Reynoldsa Stress  i innych bazujących na uśrednieniu Reynoldsa, metody PDF), spectral dynamics, równanie Naviera-Stokesa w przestrzeni Fouriera problemy zamknięcia w przestrzeni liczb falowych, modele deterministyczne (DNS, LES), chaos a burzliwość, modele multifraktalne i struktury koherentne.</w:t>
      </w:r>
    </w:p>
    <w:p>
      <w:pPr>
        <w:keepNext w:val="1"/>
        <w:spacing w:after="10"/>
      </w:pPr>
      <w:r>
        <w:rPr>
          <w:b/>
          <w:bCs/>
        </w:rPr>
        <w:t xml:space="preserve">Metody oceny: </w:t>
      </w:r>
    </w:p>
    <w:p>
      <w:pPr>
        <w:spacing w:before="20" w:after="190"/>
      </w:pPr>
      <w:r>
        <w:rPr/>
        <w:t xml:space="preserve">patrz tabela 1</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 Aris “Vectors, Tensors, and the Basic Equations of Fluid Dynamics”, Prentice-Hall, Englewood Cliffs, NJ, 1962
J. Bałdyga, J. R. Bourne “Turbulent Mixing and Chemical Reactions”, Wiley, 1999
J. Bukowski „Mechanika Płynów”, PWN, 1975
J.W. Elsner „Turbulencja Przepływów” PWN, 1987
M. Lesieur, “Turbulence in Fluids”Kluwer 1995
S. B. Pope “Turbulent Flows”, Cambridge University Press, 2000
F.S. Sherman “Viscous Flow”, McGraw-Hill, 1990
H. Walden „Mechanika Płynów”, WPW, 1991
U. Frisch “Turbulence” Cambridge University Press, 1995
“Encyclopedia of Fluid Mechanics” N.P. Cheremisinoff, editor, Gulf Publishing, 1986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wiedzę z mechaniki płynów przydatną do zrozumienia zjawisk przepływu w przyrodzie i technice.</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T2A_W01, T2A_W01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modelować przepływy w urządzeniach przemysłowych.</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T2A_U09</w:t>
      </w:r>
    </w:p>
    <w:p>
      <w:pPr>
        <w:keepNext w:val="1"/>
        <w:spacing w:after="10"/>
      </w:pPr>
      <w:r>
        <w:rPr>
          <w:b/>
          <w:bCs/>
        </w:rPr>
        <w:t xml:space="preserve">Efekt U_02: </w:t>
      </w:r>
    </w:p>
    <w:p>
      <w:pPr/>
      <w:r>
        <w:rPr/>
        <w:t xml:space="preserve">Potrafi oceniać stabilność przepływów.</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T2A_U09</w:t>
      </w:r>
    </w:p>
    <w:p>
      <w:pPr>
        <w:keepNext w:val="1"/>
        <w:spacing w:after="10"/>
      </w:pPr>
      <w:r>
        <w:rPr>
          <w:b/>
          <w:bCs/>
        </w:rPr>
        <w:t xml:space="preserve">Efekt U_03: </w:t>
      </w:r>
    </w:p>
    <w:p>
      <w:pPr/>
      <w:r>
        <w:rPr/>
        <w:t xml:space="preserve">Potrafi korzystać z modeli przepływów burzliwych.</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T2A_U09</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Potrafi myśleć i działać samodzielnie i w zespole.</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2024-05-09T22:48:09+02:00</dcterms:created>
  <dcterms:modified xsi:type="dcterms:W3CDTF">2024-05-09T22:48:09+02:00</dcterms:modified>
</cp:coreProperties>
</file>

<file path=docProps/custom.xml><?xml version="1.0" encoding="utf-8"?>
<Properties xmlns="http://schemas.openxmlformats.org/officeDocument/2006/custom-properties" xmlns:vt="http://schemas.openxmlformats.org/officeDocument/2006/docPropsVTypes"/>
</file>