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godzin- 7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NW102_W03: </w:t>
      </w:r>
    </w:p>
    <w:p>
      <w:pPr/>
      <w:r>
        <w:rPr/>
        <w:t xml:space="preserve">							Zna podstawy rachunku całkowego funkcji jednej zmiennej rzeczywistej, w tym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NW102_W04: </w:t>
      </w:r>
    </w:p>
    <w:p>
      <w:pPr/>
      <w:r>
        <w:rPr/>
        <w:t xml:space="preserve">							Zna podstawy rachunku różniczkowego funkcji wielu zmiennych rzeczywistych, w tym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NW102_U1: </w:t>
      </w:r>
    </w:p>
    <w:p>
      <w:pPr/>
      <w:r>
        <w:rPr/>
        <w:t xml:space="preserve">							Potrafi posłuługiwać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NW102_U2: </w:t>
      </w:r>
    </w:p>
    <w:p>
      <w:pPr/>
      <w:r>
        <w:rPr/>
        <w:t xml:space="preserve">							Potrafi obliczać pochodne funkcji jednej zmiennej (w tym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NW102_U5: </w:t>
      </w:r>
    </w:p>
    <w:p>
      <w:pPr/>
      <w:r>
        <w:rPr/>
        <w:t xml:space="preserve">							Potrafi obliczać pochodne cząstkowe funkcji n zmiennych, w tym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NW102_K1: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2026-08-03T08:48:43+02:00</dcterms:created>
  <dcterms:modified xsi:type="dcterms:W3CDTF">2026-08-03T08:48:43+02:00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