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1 ECTS: 15 godz. zajęć, 15 godz. pracy nad przygotowywaniem prezentacji.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zajęć =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pracy nad przygotowywaniem prezentacji = 0,5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Zaawansowanie prac dyplomowych w co najmniej 50 procentach.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mechaniki i projektowania konstrukcji inżynierskich na przykładzie aktualnie wykonywanych prac dyplomowych.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seminaria prezentujące aktualny stan zaawansowania prac dyplomowych magisterskich.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Publikacje zlecone przez prowadzących prace dyplomowe.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http://mk.il.pw.edu.pl/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Seminaria będą prowadzone w języku angielskim.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SEMNAROW1: </w:t>
      </w:r>
    </w:p>
    <w:p>
      <w:pPr/>
      <w:r>
        <w:rPr/>
        <w:t xml:space="preserve">Ma poszerzoną wiedzę z zakresu  racjonalnego projektowania obiektów inżynierskich takich jak budynki, w tym budynki wysokie, hale przemysłowe, wieże, maszty i zbiorniki. Zna terminy anglojęzyczne niezbędne w pracy inżyniera lądowego.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K2_W02, K2_W04, 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T2A_W07,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pracować samodzielnie nad projektem związanym z dyplomem magisterskim biorąc pod uwagę zróżnicowane aspekty podjętego zadania. Potrafi stosować terminy anglojęzyczne dotyczące budownictwa.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K2_U03, 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T2A_U08, T2A_U11, 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Student w ramach ćwiczeń w grupie dziekańskiej współpracuje z kolegami, także z kolegami z zagranicy, którzy nie znaja języka polskiego,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 w trakcie jej przygotowania.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2024-05-15T15:25:27+02:00</dcterms:created>
  <dcterms:modified xsi:type="dcterms:W3CDTF">2024-05-15T15:25:27+02:00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