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4 ECTS: wykład 30 godz., ćwiczenia projektowe 15 godz., zapoznanie się z literaturą 15 godz., przygotowanie do ćwiczeń 15 godz., opis wybranej konstrukcji inżynierskiej 10 godz., opracowanie modelu konstrukcji inżynierskiej 20 godz., wykonanie obliczeń 5 godz., weryfikacja obliczeń 5 godz. przygotowanie prezentacji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 wykład 30 godz., ćwiczenia projektowe 15 godz., oddanie i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15 godz., opis wybranej konstrukcji inżynierskiej 10 godz., opracowanie modelu konstrukcji inżynierskiej 20 godz., wykonanie obliczeń 5 godz., weryfikacja obliczeń 5 godz. przygotowanie prezentacji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&lt;ol&gt;&lt;li&gt;Teoria Timoshenki prętów o średniej grubości  – wyprowadzenie z trójwymiarowej teorii sprężystości.
&lt;li&gt;Stateczność konstrukcji w ujęciu dynamicznym – dynamiczne kryterium utraty stateczności.
&lt;li&gt;Metody analityczne i metody komputerowe w mechanice konstrukcji.
&lt;li&gt;Model obliczeniowy konstrukcji inżynierskiej. Etapy budowy modelu obliczeniowego konstrukcji. 
&lt;li&gt;Podstawy teorii powłok cienkich i o średniej grubości.
&lt;li&gt;Ruszty o węzłach sztywnych, pręty zakrzywione w planie – modelowanie konstrukcji nośnych budowli.
&lt;li&gt;Podstawy optymalizacji topologicznej w zastosowaniu do elementów konstrukcyjnych budynków.&lt;/ol&gt;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– wykonanie i obrona.&lt;br&gt;Egzamin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Bendsoe M.P., Sigmund O., Topology Optimization. Theory, Methods and Applications, 
    Springer, 2003;&lt;br&gt; 
[2] Chmielewski T., Zembaty Z., Podstawy dynamiki budowli. Arkady 1998;&lt;br&gt; 
[3] Zienkiewicz O.C., Taylor R.L., The Finite Element Method. Vol. I, II.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MEKOKBW2: </w:t>
      </w:r>
    </w:p>
    <w:p>
      <w:pPr/>
      <w:r>
        <w:rPr/>
        <w:t xml:space="preserve">Zna dynamiczne kryterium utraty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MEKOKBW3: </w:t>
      </w:r>
    </w:p>
    <w:p>
      <w:pPr/>
      <w:r>
        <w:rPr/>
        <w:t xml:space="preserve">Zna zasady budowy modelu obliczeniowego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MEKOKBW4: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MEKOKBW5: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Umie wyprowadzić równania teorii prętów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2024-05-14T12:44:44+02:00</dcterms:created>
  <dcterms:modified xsi:type="dcterms:W3CDTF">2024-05-14T12:44:44+02:00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