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Więckowski,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15 godz., ćwiczenia projektowe 30 godz., konsultacje i egzamin 3 godz.,
praca własna studenta 27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 15 godz., ćwiczenia projektowe 30 godz., konsultacje i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godz.= 2 ECTS: ćwiczenia projektowe 30 godz.,
konsultacje 3 godz.,
praca własna studenta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 przedmiotu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dróg i skrzyżowań, przede wszystkim zamiejskich, z uwzględnieniem związków między funkcjami dróg a ich parametrami technicznymi oraz wyposażeniem. Utrwalenie wiadomości dotyczących obliczania i projektowania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Wykłady:&lt;br&gt;
Definicja drogi. Klasyfikacja i funkcje dróg, hierarchiczna struktura układów drogowych. Administracja drogowa. Podstawowe przepisy dotyczące inwestycji drogowych i ochrony środowiska. Elementy pasa drogowego. Prędkość projektowa i miarodajna. Elementy geometryczne trasy i niwelety drogi, zasady obliczania i projektowania. Tarcie i aquaplaning. Zasady projektowania trasy i niwelety drogi. Podstawy kształtowania przekroju poprzecznego. Odwodnienie dróg, przepisy i urządzenia ochrony środowiska. Skrzyżowania dróg zamiejskich i zasady ich kształtowania. Podstawy doboru nawierzchni drogowych.&lt;br&gt;
Ćwiczenie projektowe:&lt;br&gt;
Należy wykonać projekt rozbudowy drogi zamiejskiej wraz ze skrzyżowaniem (plan sytuacyjny, przekrój podłużny, przekrój poprzeczny, wybór wariantu, konstrukcje nawierzchni, oznakowanie, odwodnienie, wymagania odnośnie wyposażenia drogi oraz drogowych obiektów inżynierskich). W ramach ćwiczeń projektowych zostanie przećwiczone projektowanie i obliczanie podstawowych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430;&lt;br&gt;
[2] Komentarz do warunków technicznych jakim powinny odpowiadać drogi publiczne i ich usytuowanie. Część II Zagadnienia techniczne. GDDKiA, Transprojekt Warszawa 2002;&lt;br&gt;
[3] Rozporządzenie Ministrów Infrastruktury oraz Spraw Wewnętrznych i Administracji z dn. 31 lipca 2002 r. w sprawie znaków i sygnałów drogowych, Dz. U. Nr 170/2002, poz. 1393;&lt;br&gt;
[4] Wytyczne projektowania skrzyżowań drogowych, GDDP 2001;&lt;br&gt;
[5] Roman Edel – Odwodnienie dróg. Wydawnictwa Komunikacji i Łączności 2006;&lt;br&gt;
[6] Stanisław Gaca, Wojciech Suchorzewski, Marian Tracz – Inżynieria ruchu drogowego. Teoria i praktyka. Wydawnictwa Komunikacji i Łączności 2008;&lt;br&gt;
[7] Ujednolicone teksty potrzebnych ustaw i rozporządzeń, www.sejm.gov.pl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DROULI1W1: </w:t>
      </w:r>
    </w:p>
    <w:p>
      <w:pPr/>
      <w:r>
        <w:rPr/>
        <w:t xml:space="preserve">							Student ma wiedzę w zakresie metodologii projektowania dróg. Rozumie istotę systemowego formułowania i rozwiązywania zadań projektowych. Zna zasady wyboru i oceny rozwiązań projektowych. Zna regulacje wynikające z Ustawy - Prawo budowlane, Ustawy o drogach publicznych oraz podstawowe regulacje związane z innymi przepisami zawartymi w ustawach i rozporządzeniach stanowiących akty wykonawcze do tych ustaw. Ma wiedzę dotyczącą projektowania, wykonawstwa i eksploatacji wybranych konstrukcji drogowych w zakresie zgodnym z profilem specjalności. Ma wiedzę o projektowaniu, wykonywaniu i eksploatacji elementów infrastruktury komunikacyjnej. Zna materiały aktualnie stosowane do budowy dróg samochodowych. Zna aktualne normy, wytyczne techniczne oraz stadia i skład dokumentacji projektowej inwestycji drogowych. Ma wiedzę pozwalającą zrozumieć społeczne, ekonomiczne, środowiskowe, prawne i inne uwarunkowania wynikające z projektowania i eksploatacji infrastruktury drogowej.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K2_W10, K2_W11_DS, K2_W14_DS, K2_W17_DS,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T2A_W01, T2A_W03, T2A_W05, T2A_W07, T2A_W03, T2A_W04, T2A_W07, T1A_W02, T1A_W04, T1A_W05, T1A_W06, T1A_W09, T2A_W04,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DROULI1U1: </w:t>
      </w:r>
    </w:p>
    <w:p>
      <w:pPr/>
      <w:r>
        <w:rPr/>
        <w:t xml:space="preserve">Student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K2_U10, K2_U12_DS,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T2A_U10, T2A_U13, T2A_U19, T2A_U07, T2A_U09, T2A_U10, T2A_U11, T2A_U12, T2A_U15, T2A_U18,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DROULI1K1: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2024-05-14T17:44:44+02:00</dcterms:created>
  <dcterms:modified xsi:type="dcterms:W3CDTF">2024-05-14T17:44:44+02:00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