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materiałów i nawierzchni drogowych I</w:t>
      </w:r>
    </w:p>
    <w:p>
      <w:pPr>
        <w:keepNext w:val="1"/>
        <w:spacing w:after="10"/>
      </w:pPr>
      <w:r>
        <w:rPr>
          <w:b/>
          <w:bCs/>
        </w:rPr>
        <w:t xml:space="preserve">Koordynator przedmiotu: </w:t>
      </w:r>
    </w:p>
    <w:p>
      <w:pPr>
        <w:spacing w:before="20" w:after="190"/>
      </w:pPr>
      <w:r>
        <w:rPr/>
        <w:t xml:space="preserve">Piotr Radziszewski, Prof. dr hab. inż., Prof. nzw.PW, Jan Król,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TMIND1</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ECTS:&lt;br&gt; wykład 10 godz., ćwiczenia laboratoryjne 20 godz., przygotowanie do zajęć laboratoryjnych 10 godz., przygotowanie do zaliczenia przedmiotu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ECTS:&lt;br&gt; wykład 10 godz., ćwiczenia laboratoryjne 20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33 godz. = 1 ECTS:&lt;br&gt; obecność w laboratorium 20 godz., przygotowanie do laboratorium 10 godz., napisanie sprawozdania i weryfikacja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&lt;br&gt;Umiejętność doboru materiałowego przy projektowaniu mieszanki typu beton asfaltowy do nawierzchni drogowych. &lt;br&gt;Podstawowa umiejętność doboru optymalnej technologii z zakresu mieszanek mineralno-asfaltowych stosowanych do warstw konstrukcyjnych nawierzchni drogowych spełniających warunki obciążenia i warunki klimatyczne. &lt;br&gt;Podstawowa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&lt;ol&gt;&lt;li&gt;Konstrukcja nawierzchni drogowej: nawierzchnia podatna, nawierzchnia półsztywna, nawierzchnia sztywna.
&lt;li&gt;Asfalty, materiały kamienne: badania i ocena podstawowych właściwości kruszyw. Badania i ocena podstawowych właściwości asfaltów. &lt;li&gt;Kompleksowa ocena właściwości lepiszczy asfaltowych na podstawie karty jakości asfaltu BTDC.
&lt;li&gt;Mieszanki mineralno-asfaltowe (MMA): rodzaje, skład, metody otrzymywania, zakres stosowania, cechy techniczne, zastosowanie, metody produkcji i kontroli jakości.
&lt;li&gt;Projektowanie składu mieszanki mineralnej o ciągłym uziarnieniu. 
&lt;li&gt;Zasady ustalania składu MMA typu beton asfaltowy: szkielet mineralny, dobór ilości asfaltu dwoma metodami. Indywidualne zaprojektowanie składu MMA typu beton asfaltowy, wykonanie próbek do badań, badanie właściwości wybranej mieszanki mineralno-asfaltowej.
&lt;li&gt;Metody badania i oceny właściwości MMA typu beton asfaltowy. Ocena odporności betonu asfaltowego na działanie wody oraz ocena właściwości fizycznych.
&lt;li&gt;Podstawy technologii nawierzchni z betonu cementowego: rodzaje nawierzchni, podstawy technologii wykonania.&lt;/ol&gt;</w:t>
      </w:r>
    </w:p>
    <w:p>
      <w:pPr>
        <w:keepNext w:val="1"/>
        <w:spacing w:after="10"/>
      </w:pPr>
      <w:r>
        <w:rPr>
          <w:b/>
          <w:bCs/>
        </w:rPr>
        <w:t xml:space="preserve">Metody oceny: </w:t>
      </w:r>
    </w:p>
    <w:p>
      <w:pPr>
        <w:spacing w:before="20" w:after="190"/>
      </w:pPr>
      <w:r>
        <w:rPr/>
        <w:t xml:space="preserve">Egzamin pisemny.&lt;br&gt;
Sprawozdanie i test zaliczeniowy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2003;&lt;br&gt;
[2] Piłat J., Radziszewski P. Nawierzchnie asfaltowe. WKiŁ, Warszawa 2010;&lt;br&gt;
[3] Gaweł, M. Kalabińska, J. Piłat – Asfalty drogowe. WKiŁ, Warszawa 2001;&lt;br&gt;
[4] Błażejowski K., “SMA. Teoria i praktyka”, Warszawa 2007;&lt;br&gt;
[5] Roberts F. L., Kandhal P. S., Brown E. R., Lee D. and Kennedy T. W., “Hot Mix Asphalt Materials, Mixture Design, and Construction”, 2nd ed.., NAPA Education Foundation, Lanham, Maryland, 1996;&lt;br&gt;
[6] “The Asphalt Handbook”, Asphalt Institute, USA, manual series no. 4 (MS-4), 7th edition, 2007;&lt;br&gt;
[7] Usmani A. M., “Asphalt Science and Technology”, New York, 1997;&lt;br&gt;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TMINDW1: </w:t>
      </w:r>
    </w:p>
    <w:p>
      <w:pPr/>
      <w:r>
        <w:rPr/>
        <w:t xml:space="preserve">Ma wiedzę z zakresu właściwości asfaltów i materiałów mineralnych stosowanych w bodownictwie drogowym.</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TMINDW2: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TMINDW3: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TMINDU1: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K1_U08, K1_U11, K1_U20</w:t>
      </w:r>
    </w:p>
    <w:p>
      <w:pPr>
        <w:spacing w:before="20" w:after="190"/>
      </w:pPr>
      <w:r>
        <w:rPr>
          <w:b/>
          <w:bCs/>
        </w:rPr>
        <w:t xml:space="preserve">Powiązane efekty obszarowe: </w:t>
      </w:r>
      <w:r>
        <w:rPr/>
        <w:t xml:space="preserve">T1A_U03, T1A_U04, T1A_U08, T1A_U11, T1A_U14, T1A_U15, T1A_U03, T1A_U04, T1A_U08, T1A_U09, T1A_U15, T1A_U07, T1A_U11, T1A_U15, T1A_U16</w:t>
      </w:r>
    </w:p>
    <w:p>
      <w:pPr>
        <w:keepNext w:val="1"/>
        <w:spacing w:after="10"/>
      </w:pPr>
      <w:r>
        <w:rPr>
          <w:b/>
          <w:bCs/>
        </w:rPr>
        <w:t xml:space="preserve">Efekt TMINDU2: </w:t>
      </w:r>
    </w:p>
    <w:p>
      <w:pPr/>
      <w:r>
        <w:rPr/>
        <w:t xml:space="preserve">Potrafi zaprojekotwać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TMINDU3: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K1_U08, K1_U11, K1_U18, K1_U20</w:t>
      </w:r>
    </w:p>
    <w:p>
      <w:pPr>
        <w:spacing w:before="20" w:after="190"/>
      </w:pPr>
      <w:r>
        <w:rPr>
          <w:b/>
          <w:bCs/>
        </w:rPr>
        <w:t xml:space="preserve">Powiązane efekty obszarowe: </w:t>
      </w:r>
      <w:r>
        <w:rPr/>
        <w:t xml:space="preserve">T1A_U03, T1A_U04, T1A_U08, T1A_U11, T1A_U14, T1A_U15, 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TMINDK1: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 K1_K02, K1_K04, K1_K05, K1_K06</w:t>
      </w:r>
    </w:p>
    <w:p>
      <w:pPr>
        <w:spacing w:before="20" w:after="190"/>
      </w:pPr>
      <w:r>
        <w:rPr>
          <w:b/>
          <w:bCs/>
        </w:rPr>
        <w:t xml:space="preserve">Powiązane efekty obszarowe: </w:t>
      </w:r>
      <w:r>
        <w:rPr/>
        <w:t xml:space="preserve">T1A_K03, T1A_K02, T1A_K05, T1A_K07, T1A_K04, T1A_K05, T1A_K07,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2024-05-17T11:08:34+02:00</dcterms:created>
  <dcterms:modified xsi:type="dcterms:W3CDTF">2024-05-17T11:08:34+02:00</dcterms:modified>
</cp:coreProperties>
</file>

<file path=docProps/custom.xml><?xml version="1.0" encoding="utf-8"?>
<Properties xmlns="http://schemas.openxmlformats.org/officeDocument/2006/custom-properties" xmlns:vt="http://schemas.openxmlformats.org/officeDocument/2006/docPropsVTypes"/>
</file>