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Rysunek techniczny i grafika komputerowa</w:t>
      </w:r>
    </w:p>
    <w:p>
      <w:pPr>
        <w:keepNext w:val="1"/>
        <w:spacing w:after="10"/>
      </w:pPr>
      <w:r>
        <w:rPr>
          <w:b/>
          <w:bCs/>
        </w:rPr>
        <w:t xml:space="preserve">Koordynator przedmiotu: </w:t>
      </w:r>
    </w:p>
    <w:p>
      <w:pPr>
        <w:spacing w:before="20" w:after="190"/>
      </w:pPr>
      <w:r>
        <w:rPr/>
        <w:t xml:space="preserve">dr inż. / Wojciech Stasiak / adiunkt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MN1A_07_01</w:t>
      </w:r>
    </w:p>
    <w:p>
      <w:pPr>
        <w:keepNext w:val="1"/>
        <w:spacing w:after="10"/>
      </w:pPr>
      <w:r>
        <w:rPr>
          <w:b/>
          <w:bCs/>
        </w:rPr>
        <w:t xml:space="preserve">Semestr nominalny: </w:t>
      </w:r>
    </w:p>
    <w:p>
      <w:pPr>
        <w:spacing w:before="20" w:after="190"/>
      </w:pPr>
      <w:r>
        <w:rPr/>
        <w:t xml:space="preserve">2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Laboratoria: liczba godzin według planu studiów - 20, przygotowanie do zajęć - 10 zapoznanie ze wskazaną literaturą - 5, przygotowanie do zaliczenia - 15, sporządzenie dokumentacji rysunkowej - 5, Razem - 60
</w:t>
      </w:r>
    </w:p>
    <w:p>
      <w:pPr>
        <w:keepNext w:val="1"/>
        <w:spacing w:after="10"/>
      </w:pPr>
      <w:r>
        <w:rPr>
          <w:b/>
          <w:bCs/>
        </w:rPr>
        <w:t xml:space="preserve">Liczba punktów ECTS na zajęciach wymagających bezpośredniego udziału nauczycieli akademickich: </w:t>
      </w:r>
    </w:p>
    <w:p>
      <w:pPr>
        <w:spacing w:before="20" w:after="190"/>
      </w:pPr>
      <w:r>
        <w:rPr/>
        <w:t xml:space="preserve">Laboratoria - 20 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300h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Geometria wykreślna.</w:t>
      </w:r>
    </w:p>
    <w:p>
      <w:pPr>
        <w:keepNext w:val="1"/>
        <w:spacing w:after="10"/>
      </w:pPr>
      <w:r>
        <w:rPr>
          <w:b/>
          <w:bCs/>
        </w:rPr>
        <w:t xml:space="preserve">Limit liczby studentów: </w:t>
      </w:r>
    </w:p>
    <w:p>
      <w:pPr>
        <w:spacing w:before="20" w:after="190"/>
      </w:pPr>
      <w:r>
        <w:rPr/>
        <w:t xml:space="preserve">Laboratoria: 8 - 12</w:t>
      </w:r>
    </w:p>
    <w:p>
      <w:pPr>
        <w:keepNext w:val="1"/>
        <w:spacing w:after="10"/>
      </w:pPr>
      <w:r>
        <w:rPr>
          <w:b/>
          <w:bCs/>
        </w:rPr>
        <w:t xml:space="preserve">Cel przedmiotu: </w:t>
      </w:r>
    </w:p>
    <w:p>
      <w:pPr>
        <w:spacing w:before="20" w:after="190"/>
      </w:pPr>
      <w:r>
        <w:rPr/>
        <w:t xml:space="preserve">Celem przedmiotu jest uzyskanie przez studentów wiedzy w zakresie grafiki wektorowej i rzutów prostokątnych oraz praktyczne wykorzystanie rzutowania prostokątnego, jako formy zapisu konstrukcji do tworzenie płaskiej dokumentacji konstrukcyjnej w postaci rysunków wykonawczych i złożeniowych.</w:t>
      </w:r>
    </w:p>
    <w:p>
      <w:pPr>
        <w:keepNext w:val="1"/>
        <w:spacing w:after="10"/>
      </w:pPr>
      <w:r>
        <w:rPr>
          <w:b/>
          <w:bCs/>
        </w:rPr>
        <w:t xml:space="preserve">Treści kształcenia: </w:t>
      </w:r>
    </w:p>
    <w:p>
      <w:pPr>
        <w:spacing w:before="20" w:after="190"/>
      </w:pPr>
      <w:r>
        <w:rPr/>
        <w:t xml:space="preserve">L1 - Podstawowe obiekty rysunkowe. L2 - Współrzędne bezwzględne, względne i biegunowe. L3-L4 - Polecenia edycyjne – przesunięcia, kopiowanie, obroty, szyki, skalowanie. L5 - Zasady tworzenia rzutów w rysunku technicznym. Arkusze rysunkowe i rodzaje linii. L6 - Widoki i przekroje – rodzaje, oznaczenia na rysunku technicznym. L7 - Pismo techniczne i tabliczki rysunkowe. L8 - Wymiarowanie - zasady wymiarowania. L9 - Rysunek wykonawczy detali (wał, piasta, inne elementy). </w:t>
      </w:r>
    </w:p>
    <w:p>
      <w:pPr>
        <w:keepNext w:val="1"/>
        <w:spacing w:after="10"/>
      </w:pPr>
      <w:r>
        <w:rPr>
          <w:b/>
          <w:bCs/>
        </w:rPr>
        <w:t xml:space="preserve">Metody oceny: </w:t>
      </w:r>
    </w:p>
    <w:p>
      <w:pPr>
        <w:spacing w:before="20" w:after="190"/>
      </w:pPr>
      <w:r>
        <w:rPr/>
        <w:t xml:space="preserve">Warunkiem zaliczenia przedmiotu jest uzyskanie pozytywnej oceny z pracy praktycznej (rysunek) oraz testu teoretycznego. Zagadnienia teoretyczne obejmują wiedzę z zakresu omawianej na zajęciach tematyki oraz informacje nabyte samodzielnie przez studenta ze wskazanej przez prowadzącego literatury. Ocena końcowa jest średnią arytmetyczną ocen za zadania praktyczne oraz testy teoretyczne. Brana jest także pod uwagę aktywność studenta na zajęciach projektowych oraz obecności.</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Dobrzański T.: Rysunek techniczny maszynowy, WNT, 2005. 2. Lewandowski Z.:  Zbiór zadań z rysunku technicznego maszynowego, PWN, 2002. 3. Bajkowski J.: Podstawy zapisu konstrukcji. Wydawnictwa Politechniki Warszawskiej, 2005. 4.  Bajkowski J. (praca zbiorowa): Zbiór zadań z rysunku technicznego, Wydawnictwa Politechniki Warszawskiej, 2003.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W03_03: </w:t>
      </w:r>
    </w:p>
    <w:p>
      <w:pPr/>
      <w:r>
        <w:rPr/>
        <w:t xml:space="preserve">Potrafi prawidłowo odczytać i zinterpretować wymiary na rysunku technicznym.</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M1A_W03_03</w:t>
      </w:r>
    </w:p>
    <w:p>
      <w:pPr>
        <w:spacing w:before="20" w:after="190"/>
      </w:pPr>
      <w:r>
        <w:rPr>
          <w:b/>
          <w:bCs/>
        </w:rPr>
        <w:t xml:space="preserve">Powiązane efekty obszarowe: </w:t>
      </w:r>
      <w:r>
        <w:rPr/>
        <w:t xml:space="preserve">T1A_W03</w:t>
      </w:r>
    </w:p>
    <w:p>
      <w:pPr>
        <w:keepNext w:val="1"/>
        <w:spacing w:after="10"/>
      </w:pPr>
      <w:r>
        <w:rPr>
          <w:b/>
          <w:bCs/>
        </w:rPr>
        <w:t xml:space="preserve">Efekt W07_02: </w:t>
      </w:r>
    </w:p>
    <w:p>
      <w:pPr/>
      <w:r>
        <w:rPr/>
        <w:t xml:space="preserve">Zna zasady rzutów prostokątnych, potrafi odwzorować rzeczywisty detal na podstawie jego rzutów. </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M1A_W07_02</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U07_01: </w:t>
      </w:r>
    </w:p>
    <w:p>
      <w:pPr/>
      <w:r>
        <w:rPr/>
        <w:t xml:space="preserve">Posługuje się oprogramowaniem komputerowym do wspomagania projektowania CAD w zakresie tworzenia rzutów obiektów podstawowych oraz wymiarowania.</w:t>
      </w:r>
    </w:p>
    <w:p>
      <w:pPr>
        <w:spacing w:before="60"/>
      </w:pPr>
      <w:r>
        <w:rPr/>
        <w:t xml:space="preserve">Weryfikacja: </w:t>
      </w:r>
    </w:p>
    <w:p>
      <w:pPr>
        <w:spacing w:before="20" w:after="190"/>
      </w:pPr>
      <w:r>
        <w:rPr/>
        <w:t xml:space="preserve">-</w:t>
      </w:r>
    </w:p>
    <w:p>
      <w:pPr>
        <w:spacing w:before="20" w:after="190"/>
      </w:pPr>
      <w:r>
        <w:rPr>
          <w:b/>
          <w:bCs/>
        </w:rPr>
        <w:t xml:space="preserve">Powiązane efekty kierunkowe: </w:t>
      </w:r>
      <w:r>
        <w:rPr/>
        <w:t xml:space="preserve">M1A_U07_01</w:t>
      </w:r>
    </w:p>
    <w:p>
      <w:pPr>
        <w:spacing w:before="20" w:after="190"/>
      </w:pPr>
      <w:r>
        <w:rPr>
          <w:b/>
          <w:bCs/>
        </w:rPr>
        <w:t xml:space="preserve">Powiązane efekty obszarowe: </w:t>
      </w:r>
      <w:r>
        <w:rPr/>
        <w:t xml:space="preserve">T1A_U07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2024-05-18T19:42:54+02:00</dcterms:created>
  <dcterms:modified xsi:type="dcterms:W3CDTF">2024-05-18T19:42:54+02:00</dcterms:modified>
</cp:coreProperties>
</file>

<file path=docProps/custom.xml><?xml version="1.0" encoding="utf-8"?>
<Properties xmlns="http://schemas.openxmlformats.org/officeDocument/2006/custom-properties" xmlns:vt="http://schemas.openxmlformats.org/officeDocument/2006/docPropsVTypes"/>
</file>