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wykład;
b) 1 godz. - konsultacje.
2) Praca własna studenta - 40 godz.
a) 20 godz  - zadania domowe
b) 15 godz.  - przygotowanie do egzaminu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wykład;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Wytrzymałość Konstrukcji I i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 inteligentnych.
Nowoczesne i zaawansowane materiały, w tym wyrafinowane kompozyty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(Coroczna modyfikacja programu dla uwzględnienia nowości naukowych oraz przygotowania studentów do dalszych studiów / prac badawczych m. in. w ramach wymiany z uczelniami i jednostkami badawczymi zagranicznymi).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zadania domowe, końcowe 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I. M. Daniel, O. Ishai, Engineering Mechanics of Composite Materials, Oxford Univ. Press, New York-Oxford 1994. 2. J. R. Vinson, R. L. Sierakowski, The Behavior of Structures Composed of Composite Materials, Mart. Nijhoff Publ., Dordrecht-Boston-Lancaster, 1986. 3. W. Nowacki, Postępy Teorii Sprężystości, PWN, Warszawa 1986. 4. M. F. Ashby, D. R. H. Jones, Materia?y Inżynierskie, 1 i 2, Tłum. z ang. zbiorowe, Warszawa 1997 / 1998 Dodatkowe literatura: 1. Mechanics of composite materials and structures, np.: http://www.elsevier.com, http://www.springer.com, http://www.cambridge.org, http://scpd.stanford.edu, http://www.netcomposites.com 2. M. Bijak-Żochowski, A. Jaworski, G. Krzesiński, T. Zagrajek, Mechanika Materiałów i Konstrukcji. Ofic. Wyd. Politechniki Warszawskiej, Warszawa 2006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 i MKMiK W3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NS529_W2: </w:t>
      </w:r>
    </w:p>
    <w:p>
      <w:pPr/>
      <w:r>
        <w:rPr/>
        <w:t xml:space="preserve">														Ma postawową wiedzę na temat wszystkich grup nowoczesnych materiałów z uwypukleniem ich zastosowań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NS529_W3: </w:t>
      </w:r>
    </w:p>
    <w:p>
      <w:pPr/>
      <w:r>
        <w:rPr/>
        <w:t xml:space="preserve">														Zna teorie: klasycznà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 i MKMiK W3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uwzględniajacego efekty i zjawiska wystepujące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W4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W1, MKMiK W4 i MKMiK U1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MKMiK W1, MKMiK W3, MKMiK U1 i MKMiK U2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 , MKMiK W1, MKMiK W3 i MKMiK U2, MKMiK 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2024-05-19T01:46:36+02:00</dcterms:created>
  <dcterms:modified xsi:type="dcterms:W3CDTF">2024-05-19T01:46:36+02:00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