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Problemy cywilizacji zachodu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Jan Zubelewicz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ML.NK708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kontaktowych: 30 godz., w tym
a) wykład - 30 godz.
2) Praca własna studenta: 20 godz., w tym
a) 3 godz. - przygotowanie się do wykładów,
b) 17 godz. - przygotowanie się studenta do 2 kolokwiów.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godz. kontaktowych 30, w tym 
a) wykład 30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Limit liczby studentów - 150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C1. Zapoznanie się z podstawowymi podziałami w cywilizacji Zachodu
C2. Zapoznanie się z czynnikami destrukcyjnymi w cywilizacji Zachodu. 
C3. Zdobycie wiedzy o filozoficzno-społecznych uwarunkowaniach działalności inżynierskiej.
C4. Zdobycie kompetencji w sprawie uświadomienia wielkiej wagi środków masowego przekazu, ich roli pozytywnej i negatywnej
C5 . Zdobycie kompetencji w sprawie uświadomienia roli społecznej absolwenta uczelni technicznej i rangi edukacji w życiu społecznym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	Źródła cywilizacji Zachodu: filozofia grecka, wczesne chrześcijaństwo, prawo rzymskie
2.	Fundamenty cywilizacji Zachodu: chrześcijaństwo, nauki przyrodnicze oraz demokracja i technologia.
3.	Procesy globalizacyjne w świecie.
4.	Cywilizacja Zachodu a inne cywilizacje.
5.	Dwie strony cywilizacji Zachodu: zachowawcza i postępowa.
6.	Czynniki rozkładowe: osłabianie sił dośrodkowych i powiększanie sił odśrodkowych.
7.	Stosunek do kary śmierci, aborcji, eutanazji, klonowania.
8.	Jaką rolę spełnia "polityczna poprawność"?
9.	Problemy demograficzne w cywilizacji Zachodu.
10.	Destrukcyjna rola anarchizmu politycznego, społecznego, prawniczego, edukacyjnego.
11.	Jednostka w ponowoczesności.
12.	Rozwój technologiczny a kultura duchowa - nadzieje i zagrożenia
13.	Rola społeczna inteligencji technicznej
14.	Szkolnictwo w epoce duchowego zamętu.
15.	Rola mediów. Rola dziennikarzy. Czy dziennikarze są czwartą władzą?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sprawdziany pisemne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P. Buchanan, Śmierć Zachodu, Wrocław 2005 (wybrany fragment).
2.	Wokół wartości europejskich. Wybrane problemy, red. K. Gutowska, M. Maciejczak, Warszawa 2010 (wybrany fragment)
3.	Z. Musiał, B. Wolniewicz, Ksenofobia i wspólnota. Przyczynek do filozofii człowieka,  Komorów 2010 (wybrany fragment)
4.	B. Wolniewicz,  O Polsce i życiu. Refleksje filozoficzne i polityczne, Komorów 2011 (wybrany fragment)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ML.NK708_W01: </w:t>
      </w:r>
    </w:p>
    <w:p>
      <w:pPr/>
      <w:r>
        <w:rPr/>
        <w:t xml:space="preserve">							Ma podstawową wiedzę niezbędną do rozumienia filozoficzno-społecznych uwarunkowań działalności inżynierskiej.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T1A_W05, T1A_W06,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ML.NK708_U01: </w:t>
      </w:r>
    </w:p>
    <w:p>
      <w:pPr/>
      <w:r>
        <w:rPr/>
        <w:t xml:space="preserve">							Potrafi dokonywać interpretacji w zakresie filozoficzno-społecznych uwarunkowań działalności inżynierskiej.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MiBM1_U01, MiBM1_U05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T1A_U06, 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ML.NK708_K01: </w:t>
      </w:r>
    </w:p>
    <w:p>
      <w:pPr/>
      <w:r>
        <w:rPr/>
        <w:t xml:space="preserve">							Rozumie potrzebę ciągłego dokształcania się.  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p>
      <w:pPr>
        <w:keepNext w:val="1"/>
        <w:spacing w:after="10"/>
      </w:pPr>
      <w:r>
        <w:rPr>
          <w:b/>
          <w:bCs/>
        </w:rPr>
        <w:t xml:space="preserve">Efekt ML.NK708_K02: </w:t>
      </w:r>
    </w:p>
    <w:p>
      <w:pPr/>
      <w:r>
        <w:rPr/>
        <w:t xml:space="preserve">							Ma świadomość roli społecznej absolwenta uczelni technicznej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MiBM1_K02, MiBM1_K06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T1A_K01</w:t>
      </w:r>
    </w:p>
    <w:p>
      <w:pPr>
        <w:keepNext w:val="1"/>
        <w:spacing w:after="10"/>
      </w:pPr>
      <w:r>
        <w:rPr>
          <w:b/>
          <w:bCs/>
        </w:rPr>
        <w:t xml:space="preserve">Efekt ML.NK708_K03: </w:t>
      </w:r>
    </w:p>
    <w:p>
      <w:pPr/>
      <w:r>
        <w:rPr/>
        <w:t xml:space="preserve">							Ma świadomość roli społecznej środków masowego przekazu, potrafi dostrzec ich pozytywną i negatywną funkcję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p>
      <w:pPr>
        <w:keepNext w:val="1"/>
        <w:spacing w:after="10"/>
      </w:pPr>
      <w:r>
        <w:rPr>
          <w:b/>
          <w:bCs/>
        </w:rPr>
        <w:t xml:space="preserve">Efekt NL.NK708_K04: </w:t>
      </w:r>
    </w:p>
    <w:p>
      <w:pPr/>
      <w:r>
        <w:rPr/>
        <w:t xml:space="preserve">							Ma świadomość wagi filozoficzno-społecznych aspektów i skutków działalności inżynierskiej i związanej z tym odpowiedzialności za podejmowane decyzje 
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MiBM1_K02, MiBM1_K05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2026-05-30T00:43:35+02:00</dcterms:created>
  <dcterms:modified xsi:type="dcterms:W3CDTF">2026-05-30T00:43:35+02:00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