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do kolokwiów cząstkowych – 10 h
3.	przygotowanie do egzaminu i obecność na egzaminie 25 h
Razem nakład pracy studenta: 30h + 10 h + 25 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30 h, w tym:
a)	obecność na wykładach – 30 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biotechnologicznych metod i procesów wykorzystywanych do unieszkodliwiania odpadów,
•	dysponować wiedzą porównawczą na temat biotechnologicznego przetwarzania odpadów i znać wady, zalety i ograniczenia różnych metod postępowania z odpadami,
•	potrafić wykonać podstawowe bilanse masowe dla procesów biotechnologicznego unieszkodliwiania odpadów,
</w:t>
      </w:r>
    </w:p>
    <w:p>
      <w:pPr>
        <w:keepNext w:val="1"/>
        <w:spacing w:after="10"/>
      </w:pPr>
      <w:r>
        <w:rPr>
          <w:b/>
          <w:bCs/>
        </w:rPr>
        <w:t xml:space="preserve">Treści kształcenia: </w:t>
      </w:r>
    </w:p>
    <w:p>
      <w:pPr>
        <w:spacing w:before="20" w:after="190"/>
      </w:pPr>
      <w:r>
        <w:rPr/>
        <w:t xml:space="preserve">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rodzaje i źródła odpadów nadających się do zagospodarowania w procesach biologicznych oraz zna parametry stosowane do charakterystyki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zna podstawy najważniejszych technologii stosowanych w biologicznym unieszkodliwianiu odpadów i sposoby prowadzenia tych procesów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T2A_W06, T2A_W07,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dla wybranych technologii biologicznego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T2A_U08, T2A_U08, T2A_U11</w:t>
      </w:r>
    </w:p>
    <w:p>
      <w:pPr>
        <w:keepNext w:val="1"/>
        <w:spacing w:after="10"/>
      </w:pPr>
      <w:r>
        <w:rPr>
          <w:b/>
          <w:bCs/>
        </w:rPr>
        <w:t xml:space="preserve">Efekt U02: </w:t>
      </w:r>
    </w:p>
    <w:p>
      <w:pPr/>
      <w:r>
        <w:rPr/>
        <w:t xml:space="preserve">umie dopasować właściwy rodzaj biotechnologii nadający się do wykorzystania dla konkretnego rodzaju odpadu i przeprowadzić krytykę zastosowania danej 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T2A_U12, T2A_U13,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2026-05-08T07:43:20+02:00</dcterms:created>
  <dcterms:modified xsi:type="dcterms:W3CDTF">2026-05-08T07:43:20+02:00</dcterms:modified>
</cp:coreProperties>
</file>

<file path=docProps/custom.xml><?xml version="1.0" encoding="utf-8"?>
<Properties xmlns="http://schemas.openxmlformats.org/officeDocument/2006/custom-properties" xmlns:vt="http://schemas.openxmlformats.org/officeDocument/2006/docPropsVTypes"/>
</file>