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badania śladów materiałów wybuchowych w aspekcie kryminalistyki </w:t>
      </w:r>
    </w:p>
    <w:p>
      <w:pPr>
        <w:keepNext w:val="1"/>
        <w:spacing w:after="10"/>
      </w:pPr>
      <w:r>
        <w:rPr>
          <w:b/>
          <w:bCs/>
        </w:rPr>
        <w:t xml:space="preserve">Koordynator przedmiotu: </w:t>
      </w:r>
    </w:p>
    <w:p>
      <w:pPr>
        <w:spacing w:before="20" w:after="190"/>
      </w:pPr>
      <w:r>
        <w:rPr/>
        <w:t xml:space="preserve">dr inż. Wojciech Pawłowski dr Waldemar Tomaszewski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obejmować będzie pracę badawczą dotyczącą analizy śladowej metodami instrumentalnymi. </w:t>
      </w:r>
    </w:p>
    <w:p>
      <w:pPr>
        <w:keepNext w:val="1"/>
        <w:spacing w:after="10"/>
      </w:pPr>
      <w:r>
        <w:rPr>
          <w:b/>
          <w:bCs/>
        </w:rPr>
        <w:t xml:space="preserve">Treści kształcenia: </w:t>
      </w:r>
    </w:p>
    <w:p>
      <w:pPr>
        <w:spacing w:before="20" w:after="190"/>
      </w:pPr>
      <w:r>
        <w:rPr/>
        <w:t xml:space="preserve">Przedmiot obejmować będzie pracę badawczą dotyczącą analizy śladowej metodami instrumentalnymi. Celem badań będzie szczególne zwrócenie uwagi na efekt kontaminacji oraz wiarygodność uzyskanych wyników. Otrzymane wyniki badań opracowywane będą na potrzeby głównie laboratoriów kryminalistycznych. Laboratorium obejmuje następujące treści merytoryczne:
1.	Zapoznanie się z technikami pracy i pomiarów śladowych ilości substancji w chromatografii gazowej i cieczowej oraz spektrometrii IMS.
2.	Zapoznanie się ze sposobami koncentracji śladowych ilości substancji organicznych oraz zmiany matrycy zastosowaniem technik SPE i SPME.
3.	Przeprowadzenie analiz identyfikacyjnych z zachowaniem procedur jakości.
4.	Wykonywanie ekstraktów oczyszczanie zmiana matrycy i zatężanie próbek.
5.	Ujawnianie śladów materiałów wybuchowych na różnych podłożach.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2025-12-26T11:10:28+01:00</dcterms:created>
  <dcterms:modified xsi:type="dcterms:W3CDTF">2025-12-26T11:10:28+01:00</dcterms:modified>
</cp:coreProperties>
</file>

<file path=docProps/custom.xml><?xml version="1.0" encoding="utf-8"?>
<Properties xmlns="http://schemas.openxmlformats.org/officeDocument/2006/custom-properties" xmlns:vt="http://schemas.openxmlformats.org/officeDocument/2006/docPropsVTypes"/>
</file>