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
b)	ćwiczenia – 15 godz.
c)	konsultacje – 2 godz.
2.	Praca własna studenta – 40 godzin, w tym: 
a)	 przygotowywanie się studenta do kolokwiów 20 godzin,
b)	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
b)	ćwiczenia – 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NW108_W02: </w:t>
      </w:r>
    </w:p>
    <w:p>
      <w:pPr/>
      <w:r>
        <w:rPr/>
        <w:t xml:space="preserve">																								Student wie jak wykorzystać rachunek wektorowy w zagadnieniach ze statyki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NW108_U02: </w:t>
      </w:r>
    </w:p>
    <w:p>
      <w:pPr/>
      <w:r>
        <w:rPr/>
        <w:t xml:space="preserve">																		Student potrafi wykorzystać rachunek wektorowy w statyce niutonowskiej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NW108_U03: </w:t>
      </w:r>
    </w:p>
    <w:p>
      <w:pPr/>
      <w:r>
        <w:rPr/>
        <w:t xml:space="preserve">																	Student umie określić zakres stosowalności metod statyki niutonowskiej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NW108_K01: </w:t>
      </w:r>
    </w:p>
    <w:p>
      <w:pPr/>
      <w:r>
        <w:rPr/>
        <w:t xml:space="preserve">							Student umie komunikować się w zakresie dotyczącym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2024-05-19T13:56:55+02:00</dcterms:created>
  <dcterms:modified xsi:type="dcterms:W3CDTF">2024-05-19T13:56:55+02:00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